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156" w:beforeLines="50" w:after="156" w:afterLines="50" w:line="480" w:lineRule="auto"/>
        <w:ind w:firstLine="0" w:firstLineChars="0"/>
        <w:jc w:val="center"/>
        <w:rPr>
          <w:rFonts w:eastAsia="方正小标宋简体"/>
          <w:b/>
          <w:sz w:val="36"/>
          <w:szCs w:val="36"/>
        </w:rPr>
      </w:pPr>
    </w:p>
    <w:p>
      <w:pPr>
        <w:pStyle w:val="16"/>
      </w:pPr>
    </w:p>
    <w:p>
      <w:pPr>
        <w:spacing w:before="156" w:beforeLines="50" w:after="156" w:afterLines="50" w:line="480" w:lineRule="auto"/>
        <w:ind w:firstLine="0" w:firstLineChars="0"/>
        <w:jc w:val="center"/>
        <w:rPr>
          <w:rFonts w:eastAsia="方正小标宋简体"/>
          <w:b/>
          <w:sz w:val="56"/>
          <w:szCs w:val="56"/>
        </w:rPr>
      </w:pPr>
      <w:r>
        <w:rPr>
          <w:rFonts w:hint="eastAsia" w:eastAsia="方正小标宋简体"/>
          <w:b/>
          <w:sz w:val="56"/>
          <w:szCs w:val="56"/>
        </w:rPr>
        <w:t>叶集区交通运输“十五五”发展规划</w:t>
      </w:r>
    </w:p>
    <w:p>
      <w:pPr>
        <w:pStyle w:val="16"/>
        <w:rPr>
          <w:rFonts w:eastAsia="方正小标宋简体"/>
          <w:b/>
          <w:sz w:val="36"/>
          <w:szCs w:val="36"/>
        </w:rPr>
      </w:pPr>
    </w:p>
    <w:p>
      <w:pPr>
        <w:spacing w:before="156" w:beforeLines="50" w:after="156" w:afterLines="50" w:line="480" w:lineRule="auto"/>
        <w:ind w:firstLine="0" w:firstLineChars="0"/>
        <w:jc w:val="center"/>
        <w:rPr>
          <w:rFonts w:ascii="黑体" w:hAnsi="黑体" w:eastAsia="黑体"/>
          <w:b/>
          <w:sz w:val="36"/>
          <w:szCs w:val="36"/>
        </w:rPr>
      </w:pPr>
      <w:r>
        <w:rPr>
          <w:rFonts w:hint="eastAsia" w:ascii="黑体" w:hAnsi="黑体" w:eastAsia="黑体"/>
          <w:b/>
          <w:sz w:val="36"/>
          <w:szCs w:val="36"/>
        </w:rPr>
        <w:t>(征求意见稿)</w:t>
      </w:r>
    </w:p>
    <w:p>
      <w:pPr>
        <w:spacing w:before="156" w:beforeLines="50" w:after="156" w:afterLines="50" w:line="480" w:lineRule="auto"/>
        <w:ind w:firstLine="0" w:firstLineChars="0"/>
        <w:jc w:val="center"/>
        <w:rPr>
          <w:rFonts w:eastAsia="方正小标宋简体"/>
          <w:b/>
          <w:sz w:val="36"/>
          <w:szCs w:val="36"/>
        </w:rPr>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spacing w:line="480" w:lineRule="auto"/>
        <w:ind w:right="1786" w:rightChars="638" w:firstLine="1677" w:firstLineChars="559"/>
        <w:jc w:val="center"/>
        <w:rPr>
          <w:rFonts w:ascii="黑体" w:hAnsi="黑体" w:eastAsia="黑体" w:cs="黑体"/>
          <w:bCs/>
          <w:sz w:val="30"/>
          <w:szCs w:val="30"/>
        </w:rPr>
      </w:pPr>
      <w:r>
        <w:rPr>
          <w:rFonts w:hint="eastAsia" w:ascii="黑体" w:hAnsi="黑体" w:eastAsia="黑体" w:cs="黑体"/>
          <w:bCs/>
          <w:sz w:val="30"/>
          <w:szCs w:val="30"/>
        </w:rPr>
        <w:t>叶集区交通运输局</w:t>
      </w:r>
    </w:p>
    <w:p>
      <w:pPr>
        <w:spacing w:line="480" w:lineRule="auto"/>
        <w:ind w:firstLine="0" w:firstLineChars="0"/>
        <w:jc w:val="center"/>
        <w:rPr>
          <w:rFonts w:eastAsia="方正小标宋简体"/>
          <w:bCs/>
          <w:sz w:val="30"/>
          <w:szCs w:val="30"/>
        </w:rPr>
      </w:pPr>
      <w:r>
        <w:rPr>
          <w:rFonts w:hint="eastAsia" w:ascii="黑体" w:hAnsi="黑体" w:eastAsia="黑体" w:cs="黑体"/>
          <w:bCs/>
          <w:sz w:val="30"/>
          <w:szCs w:val="30"/>
        </w:rPr>
        <w:t>二〇二五年十二月</w:t>
      </w:r>
    </w:p>
    <w:p>
      <w:pPr>
        <w:ind w:firstLine="199" w:firstLineChars="62"/>
        <w:rPr>
          <w:rFonts w:ascii="黑体" w:hAnsi="黑体" w:eastAsia="黑体" w:cs="黑体"/>
          <w:b/>
          <w:sz w:val="32"/>
          <w:szCs w:val="32"/>
        </w:rPr>
      </w:pPr>
    </w:p>
    <w:p>
      <w:pPr>
        <w:spacing w:before="156" w:beforeLines="50" w:after="156" w:afterLines="50" w:line="480" w:lineRule="auto"/>
        <w:ind w:firstLine="0" w:firstLineChars="0"/>
        <w:jc w:val="center"/>
        <w:rPr>
          <w:rFonts w:eastAsia="方正小标宋简体"/>
          <w:b/>
          <w:sz w:val="36"/>
          <w:szCs w:val="36"/>
        </w:rPr>
        <w:sectPr>
          <w:headerReference r:id="rId7" w:type="first"/>
          <w:footerReference r:id="rId10" w:type="first"/>
          <w:headerReference r:id="rId5" w:type="default"/>
          <w:footerReference r:id="rId8" w:type="default"/>
          <w:headerReference r:id="rId6" w:type="even"/>
          <w:footerReference r:id="rId9" w:type="even"/>
          <w:footnotePr>
            <w:numFmt w:val="decimalEnclosedCircleChinese"/>
          </w:footnotePr>
          <w:pgSz w:w="11906" w:h="16838"/>
          <w:pgMar w:top="1701" w:right="1418" w:bottom="1701" w:left="1701" w:header="1135" w:footer="992" w:gutter="0"/>
          <w:pgNumType w:fmt="upperRoman" w:start="1"/>
          <w:cols w:space="720" w:num="1"/>
          <w:docGrid w:type="lines" w:linePitch="312" w:charSpace="0"/>
        </w:sectPr>
      </w:pPr>
    </w:p>
    <w:p>
      <w:pPr>
        <w:spacing w:before="156" w:beforeLines="50" w:after="156" w:afterLines="50" w:line="480" w:lineRule="auto"/>
        <w:ind w:firstLine="0" w:firstLineChars="0"/>
        <w:jc w:val="center"/>
        <w:rPr>
          <w:rFonts w:eastAsia="方正小标宋简体"/>
          <w:bCs/>
          <w:sz w:val="36"/>
          <w:szCs w:val="36"/>
        </w:rPr>
      </w:pPr>
      <w:r>
        <w:rPr>
          <w:rFonts w:eastAsia="方正小标宋简体"/>
          <w:bCs/>
          <w:sz w:val="36"/>
          <w:szCs w:val="36"/>
        </w:rPr>
        <w:t>目  录</w:t>
      </w:r>
    </w:p>
    <w:p>
      <w:pPr>
        <w:pStyle w:val="25"/>
        <w:tabs>
          <w:tab w:val="right" w:leader="dot" w:pos="8787"/>
          <w:tab w:val="clear" w:pos="1050"/>
          <w:tab w:val="clear" w:pos="1260"/>
          <w:tab w:val="clear" w:pos="8664"/>
        </w:tabs>
      </w:pPr>
      <w:r>
        <w:fldChar w:fldCharType="begin"/>
      </w:r>
      <w:r>
        <w:instrText xml:space="preserve">TOC \o "1-4" \h \u </w:instrText>
      </w:r>
      <w:r>
        <w:fldChar w:fldCharType="separate"/>
      </w:r>
      <w:r>
        <w:fldChar w:fldCharType="begin"/>
      </w:r>
      <w:r>
        <w:instrText xml:space="preserve"> HYPERLINK \l "_Toc10261" </w:instrText>
      </w:r>
      <w:r>
        <w:fldChar w:fldCharType="separate"/>
      </w:r>
      <w:r>
        <w:rPr>
          <w:rFonts w:hint="eastAsia" w:ascii="仿宋_GB2312" w:hAnsi="仿宋_GB2312" w:cs="仿宋_GB2312"/>
          <w:bCs/>
        </w:rPr>
        <w:t>前 言</w:t>
      </w:r>
      <w:r>
        <w:tab/>
      </w:r>
      <w:r>
        <w:fldChar w:fldCharType="begin"/>
      </w:r>
      <w:r>
        <w:instrText xml:space="preserve"> PAGEREF _Toc10261 \h </w:instrText>
      </w:r>
      <w:r>
        <w:fldChar w:fldCharType="separate"/>
      </w:r>
      <w:r>
        <w:t>1</w:t>
      </w:r>
      <w:r>
        <w:fldChar w:fldCharType="end"/>
      </w:r>
      <w:r>
        <w:fldChar w:fldCharType="end"/>
      </w:r>
    </w:p>
    <w:p>
      <w:pPr>
        <w:pStyle w:val="25"/>
        <w:tabs>
          <w:tab w:val="right" w:leader="dot" w:pos="8787"/>
          <w:tab w:val="clear" w:pos="1050"/>
          <w:tab w:val="clear" w:pos="1260"/>
          <w:tab w:val="clear" w:pos="8664"/>
        </w:tabs>
      </w:pPr>
      <w:r>
        <w:fldChar w:fldCharType="begin"/>
      </w:r>
      <w:r>
        <w:instrText xml:space="preserve"> HYPERLINK \l "_Toc24170" </w:instrText>
      </w:r>
      <w:r>
        <w:fldChar w:fldCharType="separate"/>
      </w:r>
      <w:r>
        <w:rPr>
          <w:rFonts w:hint="eastAsia"/>
          <w:szCs w:val="32"/>
        </w:rPr>
        <w:t xml:space="preserve">第1章 </w:t>
      </w:r>
      <w:r>
        <w:rPr>
          <w:rFonts w:hint="eastAsia"/>
          <w:szCs w:val="36"/>
        </w:rPr>
        <w:t>发展基础</w:t>
      </w:r>
      <w:r>
        <w:tab/>
      </w:r>
      <w:r>
        <w:fldChar w:fldCharType="begin"/>
      </w:r>
      <w:r>
        <w:instrText xml:space="preserve"> PAGEREF _Toc24170 \h </w:instrText>
      </w:r>
      <w:r>
        <w:fldChar w:fldCharType="separate"/>
      </w:r>
      <w:r>
        <w:t>3</w:t>
      </w:r>
      <w:r>
        <w:fldChar w:fldCharType="end"/>
      </w:r>
      <w:r>
        <w:fldChar w:fldCharType="end"/>
      </w:r>
    </w:p>
    <w:p>
      <w:pPr>
        <w:pStyle w:val="28"/>
        <w:tabs>
          <w:tab w:val="right" w:leader="dot" w:pos="8787"/>
          <w:tab w:val="clear" w:pos="1050"/>
          <w:tab w:val="clear" w:pos="8664"/>
        </w:tabs>
      </w:pPr>
      <w:r>
        <w:fldChar w:fldCharType="begin"/>
      </w:r>
      <w:r>
        <w:instrText xml:space="preserve"> HYPERLINK \l "_Toc30280" </w:instrText>
      </w:r>
      <w:r>
        <w:fldChar w:fldCharType="separate"/>
      </w:r>
      <w:r>
        <w:t xml:space="preserve">1.1 </w:t>
      </w:r>
      <w:r>
        <w:rPr>
          <w:rFonts w:hint="eastAsia"/>
        </w:rPr>
        <w:t>发展成效</w:t>
      </w:r>
      <w:r>
        <w:tab/>
      </w:r>
      <w:r>
        <w:fldChar w:fldCharType="begin"/>
      </w:r>
      <w:r>
        <w:instrText xml:space="preserve"> PAGEREF _Toc30280 \h </w:instrText>
      </w:r>
      <w:r>
        <w:fldChar w:fldCharType="separate"/>
      </w:r>
      <w:r>
        <w:t>3</w:t>
      </w:r>
      <w:r>
        <w:fldChar w:fldCharType="end"/>
      </w:r>
      <w:r>
        <w:fldChar w:fldCharType="end"/>
      </w:r>
    </w:p>
    <w:p>
      <w:pPr>
        <w:pStyle w:val="28"/>
        <w:tabs>
          <w:tab w:val="right" w:leader="dot" w:pos="8787"/>
          <w:tab w:val="clear" w:pos="1050"/>
          <w:tab w:val="clear" w:pos="8664"/>
        </w:tabs>
      </w:pPr>
      <w:r>
        <w:fldChar w:fldCharType="begin"/>
      </w:r>
      <w:r>
        <w:instrText xml:space="preserve"> HYPERLINK \l "_Toc9341" </w:instrText>
      </w:r>
      <w:r>
        <w:fldChar w:fldCharType="separate"/>
      </w:r>
      <w:r>
        <w:t xml:space="preserve">1.2 </w:t>
      </w:r>
      <w:r>
        <w:rPr>
          <w:rFonts w:hint="eastAsia"/>
        </w:rPr>
        <w:t>存在问题</w:t>
      </w:r>
      <w:r>
        <w:tab/>
      </w:r>
      <w:r>
        <w:fldChar w:fldCharType="begin"/>
      </w:r>
      <w:r>
        <w:instrText xml:space="preserve"> PAGEREF _Toc9341 \h </w:instrText>
      </w:r>
      <w:r>
        <w:fldChar w:fldCharType="separate"/>
      </w:r>
      <w:r>
        <w:t>6</w:t>
      </w:r>
      <w:r>
        <w:fldChar w:fldCharType="end"/>
      </w:r>
      <w:r>
        <w:fldChar w:fldCharType="end"/>
      </w:r>
    </w:p>
    <w:p>
      <w:pPr>
        <w:pStyle w:val="25"/>
        <w:tabs>
          <w:tab w:val="right" w:leader="dot" w:pos="8787"/>
          <w:tab w:val="clear" w:pos="1050"/>
          <w:tab w:val="clear" w:pos="1260"/>
          <w:tab w:val="clear" w:pos="8664"/>
        </w:tabs>
      </w:pPr>
      <w:r>
        <w:fldChar w:fldCharType="begin"/>
      </w:r>
      <w:r>
        <w:instrText xml:space="preserve"> HYPERLINK \l "_Toc12066" </w:instrText>
      </w:r>
      <w:r>
        <w:fldChar w:fldCharType="separate"/>
      </w:r>
      <w:r>
        <w:rPr>
          <w:rFonts w:hint="eastAsia"/>
          <w:szCs w:val="32"/>
        </w:rPr>
        <w:t xml:space="preserve">第2章 </w:t>
      </w:r>
      <w:r>
        <w:rPr>
          <w:szCs w:val="36"/>
        </w:rPr>
        <w:t>形势需求</w:t>
      </w:r>
      <w:r>
        <w:tab/>
      </w:r>
      <w:r>
        <w:fldChar w:fldCharType="begin"/>
      </w:r>
      <w:r>
        <w:instrText xml:space="preserve"> PAGEREF _Toc12066 \h </w:instrText>
      </w:r>
      <w:r>
        <w:fldChar w:fldCharType="separate"/>
      </w:r>
      <w:r>
        <w:t>8</w:t>
      </w:r>
      <w:r>
        <w:fldChar w:fldCharType="end"/>
      </w:r>
      <w:r>
        <w:fldChar w:fldCharType="end"/>
      </w:r>
    </w:p>
    <w:p>
      <w:pPr>
        <w:pStyle w:val="28"/>
        <w:tabs>
          <w:tab w:val="right" w:leader="dot" w:pos="8787"/>
          <w:tab w:val="clear" w:pos="1050"/>
          <w:tab w:val="clear" w:pos="8664"/>
        </w:tabs>
      </w:pPr>
      <w:r>
        <w:fldChar w:fldCharType="begin"/>
      </w:r>
      <w:r>
        <w:instrText xml:space="preserve"> HYPERLINK \l "_Toc11089" </w:instrText>
      </w:r>
      <w:r>
        <w:fldChar w:fldCharType="separate"/>
      </w:r>
      <w:r>
        <w:t xml:space="preserve">2.1 </w:t>
      </w:r>
      <w:r>
        <w:rPr>
          <w:rFonts w:hint="eastAsia"/>
        </w:rPr>
        <w:t>发展形势研判</w:t>
      </w:r>
      <w:r>
        <w:tab/>
      </w:r>
      <w:r>
        <w:fldChar w:fldCharType="begin"/>
      </w:r>
      <w:r>
        <w:instrText xml:space="preserve"> PAGEREF _Toc11089 \h </w:instrText>
      </w:r>
      <w:r>
        <w:fldChar w:fldCharType="separate"/>
      </w:r>
      <w:r>
        <w:t>8</w:t>
      </w:r>
      <w:r>
        <w:fldChar w:fldCharType="end"/>
      </w:r>
      <w:r>
        <w:fldChar w:fldCharType="end"/>
      </w:r>
    </w:p>
    <w:p>
      <w:pPr>
        <w:pStyle w:val="28"/>
        <w:tabs>
          <w:tab w:val="right" w:leader="dot" w:pos="8787"/>
          <w:tab w:val="clear" w:pos="1050"/>
          <w:tab w:val="clear" w:pos="8664"/>
        </w:tabs>
      </w:pPr>
      <w:r>
        <w:fldChar w:fldCharType="begin"/>
      </w:r>
      <w:r>
        <w:instrText xml:space="preserve"> HYPERLINK \l "_Toc3741" </w:instrText>
      </w:r>
      <w:r>
        <w:fldChar w:fldCharType="separate"/>
      </w:r>
      <w:r>
        <w:t xml:space="preserve">2.2 </w:t>
      </w:r>
      <w:r>
        <w:rPr>
          <w:rFonts w:hint="eastAsia"/>
        </w:rPr>
        <w:t>交通</w:t>
      </w:r>
      <w:r>
        <w:t>需求</w:t>
      </w:r>
      <w:r>
        <w:rPr>
          <w:rFonts w:hint="eastAsia"/>
        </w:rPr>
        <w:t>分析</w:t>
      </w:r>
      <w:r>
        <w:tab/>
      </w:r>
      <w:r>
        <w:fldChar w:fldCharType="begin"/>
      </w:r>
      <w:r>
        <w:instrText xml:space="preserve"> PAGEREF _Toc3741 \h </w:instrText>
      </w:r>
      <w:r>
        <w:fldChar w:fldCharType="separate"/>
      </w:r>
      <w:r>
        <w:t>9</w:t>
      </w:r>
      <w:r>
        <w:fldChar w:fldCharType="end"/>
      </w:r>
      <w:r>
        <w:fldChar w:fldCharType="end"/>
      </w:r>
    </w:p>
    <w:p>
      <w:pPr>
        <w:pStyle w:val="25"/>
        <w:tabs>
          <w:tab w:val="right" w:leader="dot" w:pos="8787"/>
          <w:tab w:val="clear" w:pos="1050"/>
          <w:tab w:val="clear" w:pos="1260"/>
          <w:tab w:val="clear" w:pos="8664"/>
        </w:tabs>
      </w:pPr>
      <w:r>
        <w:fldChar w:fldCharType="begin"/>
      </w:r>
      <w:r>
        <w:instrText xml:space="preserve"> HYPERLINK \l "_Toc6303" </w:instrText>
      </w:r>
      <w:r>
        <w:fldChar w:fldCharType="separate"/>
      </w:r>
      <w:r>
        <w:rPr>
          <w:rFonts w:hint="eastAsia"/>
          <w:szCs w:val="32"/>
        </w:rPr>
        <w:t xml:space="preserve">第3章 </w:t>
      </w:r>
      <w:r>
        <w:rPr>
          <w:rFonts w:hint="eastAsia"/>
          <w:szCs w:val="36"/>
        </w:rPr>
        <w:t>思路</w:t>
      </w:r>
      <w:r>
        <w:rPr>
          <w:szCs w:val="36"/>
        </w:rPr>
        <w:t>目标</w:t>
      </w:r>
      <w:r>
        <w:tab/>
      </w:r>
      <w:r>
        <w:fldChar w:fldCharType="begin"/>
      </w:r>
      <w:r>
        <w:instrText xml:space="preserve"> PAGEREF _Toc6303 \h </w:instrText>
      </w:r>
      <w:r>
        <w:fldChar w:fldCharType="separate"/>
      </w:r>
      <w:r>
        <w:t>11</w:t>
      </w:r>
      <w:r>
        <w:fldChar w:fldCharType="end"/>
      </w:r>
      <w:r>
        <w:fldChar w:fldCharType="end"/>
      </w:r>
    </w:p>
    <w:p>
      <w:pPr>
        <w:pStyle w:val="28"/>
        <w:tabs>
          <w:tab w:val="right" w:leader="dot" w:pos="8787"/>
          <w:tab w:val="clear" w:pos="1050"/>
          <w:tab w:val="clear" w:pos="8664"/>
        </w:tabs>
      </w:pPr>
      <w:r>
        <w:fldChar w:fldCharType="begin"/>
      </w:r>
      <w:r>
        <w:instrText xml:space="preserve"> HYPERLINK \l "_Toc27795" </w:instrText>
      </w:r>
      <w:r>
        <w:fldChar w:fldCharType="separate"/>
      </w:r>
      <w:r>
        <w:t>3.1 指导思想</w:t>
      </w:r>
      <w:r>
        <w:tab/>
      </w:r>
      <w:r>
        <w:fldChar w:fldCharType="begin"/>
      </w:r>
      <w:r>
        <w:instrText xml:space="preserve"> PAGEREF _Toc27795 \h </w:instrText>
      </w:r>
      <w:r>
        <w:fldChar w:fldCharType="separate"/>
      </w:r>
      <w:r>
        <w:t>11</w:t>
      </w:r>
      <w:r>
        <w:fldChar w:fldCharType="end"/>
      </w:r>
      <w:r>
        <w:fldChar w:fldCharType="end"/>
      </w:r>
    </w:p>
    <w:p>
      <w:pPr>
        <w:pStyle w:val="28"/>
        <w:tabs>
          <w:tab w:val="right" w:leader="dot" w:pos="8787"/>
          <w:tab w:val="clear" w:pos="1050"/>
          <w:tab w:val="clear" w:pos="8664"/>
        </w:tabs>
      </w:pPr>
      <w:r>
        <w:fldChar w:fldCharType="begin"/>
      </w:r>
      <w:r>
        <w:instrText xml:space="preserve"> HYPERLINK \l "_Toc12733" </w:instrText>
      </w:r>
      <w:r>
        <w:fldChar w:fldCharType="separate"/>
      </w:r>
      <w:r>
        <w:t>3.2 基本原则</w:t>
      </w:r>
      <w:r>
        <w:tab/>
      </w:r>
      <w:r>
        <w:fldChar w:fldCharType="begin"/>
      </w:r>
      <w:r>
        <w:instrText xml:space="preserve"> PAGEREF _Toc12733 \h </w:instrText>
      </w:r>
      <w:r>
        <w:fldChar w:fldCharType="separate"/>
      </w:r>
      <w:r>
        <w:t>12</w:t>
      </w:r>
      <w:r>
        <w:fldChar w:fldCharType="end"/>
      </w:r>
      <w:r>
        <w:fldChar w:fldCharType="end"/>
      </w:r>
    </w:p>
    <w:p>
      <w:pPr>
        <w:pStyle w:val="28"/>
        <w:tabs>
          <w:tab w:val="right" w:leader="dot" w:pos="8787"/>
          <w:tab w:val="clear" w:pos="1050"/>
          <w:tab w:val="clear" w:pos="8664"/>
        </w:tabs>
      </w:pPr>
      <w:r>
        <w:fldChar w:fldCharType="begin"/>
      </w:r>
      <w:r>
        <w:instrText xml:space="preserve"> HYPERLINK \l "_Toc6751" </w:instrText>
      </w:r>
      <w:r>
        <w:fldChar w:fldCharType="separate"/>
      </w:r>
      <w:r>
        <w:t xml:space="preserve">3.3 </w:t>
      </w:r>
      <w:r>
        <w:rPr>
          <w:rFonts w:hint="eastAsia"/>
        </w:rPr>
        <w:t>发展目标</w:t>
      </w:r>
      <w:r>
        <w:tab/>
      </w:r>
      <w:r>
        <w:fldChar w:fldCharType="begin"/>
      </w:r>
      <w:r>
        <w:instrText xml:space="preserve"> PAGEREF _Toc6751 \h </w:instrText>
      </w:r>
      <w:r>
        <w:fldChar w:fldCharType="separate"/>
      </w:r>
      <w:r>
        <w:t>13</w:t>
      </w:r>
      <w:r>
        <w:fldChar w:fldCharType="end"/>
      </w:r>
      <w:r>
        <w:fldChar w:fldCharType="end"/>
      </w:r>
    </w:p>
    <w:p>
      <w:pPr>
        <w:pStyle w:val="25"/>
        <w:tabs>
          <w:tab w:val="right" w:leader="dot" w:pos="8787"/>
          <w:tab w:val="clear" w:pos="1050"/>
          <w:tab w:val="clear" w:pos="1260"/>
          <w:tab w:val="clear" w:pos="8664"/>
        </w:tabs>
      </w:pPr>
      <w:r>
        <w:fldChar w:fldCharType="begin"/>
      </w:r>
      <w:r>
        <w:instrText xml:space="preserve"> HYPERLINK \l "_Toc1672" </w:instrText>
      </w:r>
      <w:r>
        <w:fldChar w:fldCharType="separate"/>
      </w:r>
      <w:r>
        <w:rPr>
          <w:rFonts w:hint="eastAsia"/>
          <w:szCs w:val="32"/>
        </w:rPr>
        <w:t xml:space="preserve">第4章 </w:t>
      </w:r>
      <w:r>
        <w:rPr>
          <w:rFonts w:hint="eastAsia"/>
          <w:szCs w:val="36"/>
        </w:rPr>
        <w:t>重点任务</w:t>
      </w:r>
      <w:r>
        <w:tab/>
      </w:r>
      <w:r>
        <w:fldChar w:fldCharType="begin"/>
      </w:r>
      <w:r>
        <w:instrText xml:space="preserve"> PAGEREF _Toc1672 \h </w:instrText>
      </w:r>
      <w:r>
        <w:fldChar w:fldCharType="separate"/>
      </w:r>
      <w:r>
        <w:t>17</w:t>
      </w:r>
      <w:r>
        <w:fldChar w:fldCharType="end"/>
      </w:r>
      <w:r>
        <w:fldChar w:fldCharType="end"/>
      </w:r>
    </w:p>
    <w:p>
      <w:pPr>
        <w:pStyle w:val="28"/>
        <w:tabs>
          <w:tab w:val="right" w:leader="dot" w:pos="8787"/>
          <w:tab w:val="clear" w:pos="1050"/>
          <w:tab w:val="clear" w:pos="8664"/>
        </w:tabs>
      </w:pPr>
      <w:r>
        <w:fldChar w:fldCharType="begin"/>
      </w:r>
      <w:r>
        <w:instrText xml:space="preserve"> HYPERLINK \l "_Toc9364" </w:instrText>
      </w:r>
      <w:r>
        <w:fldChar w:fldCharType="separate"/>
      </w:r>
      <w:r>
        <w:t xml:space="preserve">4.1 </w:t>
      </w:r>
      <w:r>
        <w:rPr>
          <w:rFonts w:hint="eastAsia"/>
        </w:rPr>
        <w:t>构建高效的综合交通网</w:t>
      </w:r>
      <w:r>
        <w:tab/>
      </w:r>
      <w:r>
        <w:fldChar w:fldCharType="begin"/>
      </w:r>
      <w:r>
        <w:instrText xml:space="preserve"> PAGEREF _Toc9364 \h </w:instrText>
      </w:r>
      <w:r>
        <w:fldChar w:fldCharType="separate"/>
      </w:r>
      <w:r>
        <w:t>17</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"_Toc25800" </w:instrText>
      </w:r>
      <w:r>
        <w:fldChar w:fldCharType="separate"/>
      </w:r>
      <w:r>
        <w:rPr>
          <w:rFonts w:hint="eastAsia"/>
        </w:rPr>
        <w:t>4.1.1 布局“4511四纵五横双循环”大通道</w:t>
      </w:r>
      <w:r>
        <w:tab/>
      </w:r>
      <w:r>
        <w:fldChar w:fldCharType="begin"/>
      </w:r>
      <w:r>
        <w:instrText xml:space="preserve"> PAGEREF _Toc25800 \h </w:instrText>
      </w:r>
      <w:r>
        <w:fldChar w:fldCharType="separate"/>
      </w:r>
      <w:r>
        <w:t>17</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"_Toc20306" </w:instrText>
      </w:r>
      <w:r>
        <w:fldChar w:fldCharType="separate"/>
      </w:r>
      <w:r>
        <w:rPr>
          <w:rFonts w:hint="eastAsia"/>
        </w:rPr>
        <w:t>4.1.2 打造互联互通的高速公路网</w:t>
      </w:r>
      <w:r>
        <w:tab/>
      </w:r>
      <w:r>
        <w:fldChar w:fldCharType="begin"/>
      </w:r>
      <w:r>
        <w:instrText xml:space="preserve"> PAGEREF _Toc20306 \h </w:instrText>
      </w:r>
      <w:r>
        <w:fldChar w:fldCharType="separate"/>
      </w:r>
      <w:r>
        <w:t>18</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"_Toc24500" </w:instrText>
      </w:r>
      <w:r>
        <w:fldChar w:fldCharType="separate"/>
      </w:r>
      <w:r>
        <w:rPr>
          <w:rFonts w:hint="eastAsia"/>
        </w:rPr>
        <w:t>4.1.3 建设内畅外联的国省干线网</w:t>
      </w:r>
      <w:r>
        <w:tab/>
      </w:r>
      <w:r>
        <w:fldChar w:fldCharType="begin"/>
      </w:r>
      <w:r>
        <w:instrText xml:space="preserve"> PAGEREF _Toc24500 \h </w:instrText>
      </w:r>
      <w:r>
        <w:fldChar w:fldCharType="separate"/>
      </w:r>
      <w:r>
        <w:t>18</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"_Toc2624" </w:instrText>
      </w:r>
      <w:r>
        <w:fldChar w:fldCharType="separate"/>
      </w:r>
      <w:r>
        <w:rPr>
          <w:rFonts w:hint="eastAsia"/>
        </w:rPr>
        <w:t>4.1.4 升级全域覆盖的农村公路网</w:t>
      </w:r>
      <w:r>
        <w:tab/>
      </w:r>
      <w:r>
        <w:fldChar w:fldCharType="begin"/>
      </w:r>
      <w:r>
        <w:instrText xml:space="preserve"> PAGEREF _Toc2624 \h </w:instrText>
      </w:r>
      <w:r>
        <w:fldChar w:fldCharType="separate"/>
      </w:r>
      <w:r>
        <w:t>21</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"_Toc21619" </w:instrText>
      </w:r>
      <w:r>
        <w:fldChar w:fldCharType="separate"/>
      </w:r>
      <w:r>
        <w:rPr>
          <w:rFonts w:hint="eastAsia"/>
        </w:rPr>
        <w:t>4.1.5 建设便捷融合的通用机场</w:t>
      </w:r>
      <w:r>
        <w:tab/>
      </w:r>
      <w:r>
        <w:fldChar w:fldCharType="begin"/>
      </w:r>
      <w:r>
        <w:instrText xml:space="preserve"> PAGEREF _Toc21619 \h </w:instrText>
      </w:r>
      <w:r>
        <w:fldChar w:fldCharType="separate"/>
      </w:r>
      <w:r>
        <w:t>22</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"_Toc16770" </w:instrText>
      </w:r>
      <w:r>
        <w:fldChar w:fldCharType="separate"/>
      </w:r>
      <w:r>
        <w:rPr>
          <w:rFonts w:hint="eastAsia"/>
        </w:rPr>
        <w:t>4.1.6 构建高效衔接的水运新格局</w:t>
      </w:r>
      <w:r>
        <w:tab/>
      </w:r>
      <w:r>
        <w:fldChar w:fldCharType="begin"/>
      </w:r>
      <w:r>
        <w:instrText xml:space="preserve"> PAGEREF _Toc16770 \h </w:instrText>
      </w:r>
      <w:r>
        <w:fldChar w:fldCharType="separate"/>
      </w:r>
      <w:r>
        <w:t>23</w:t>
      </w:r>
      <w:r>
        <w:fldChar w:fldCharType="end"/>
      </w:r>
      <w:r>
        <w:fldChar w:fldCharType="end"/>
      </w:r>
    </w:p>
    <w:p>
      <w:pPr>
        <w:pStyle w:val="28"/>
        <w:tabs>
          <w:tab w:val="right" w:leader="dot" w:pos="8787"/>
          <w:tab w:val="clear" w:pos="1050"/>
          <w:tab w:val="clear" w:pos="8664"/>
        </w:tabs>
      </w:pPr>
      <w:r>
        <w:fldChar w:fldCharType="begin"/>
      </w:r>
      <w:r>
        <w:instrText xml:space="preserve"> HYPERLINK \l "_Toc23507" </w:instrText>
      </w:r>
      <w:r>
        <w:fldChar w:fldCharType="separate"/>
      </w:r>
      <w:r>
        <w:t xml:space="preserve">4.2 </w:t>
      </w:r>
      <w:r>
        <w:rPr>
          <w:rFonts w:hint="eastAsia"/>
        </w:rPr>
        <w:t>持续提升综合运输服务水平</w:t>
      </w:r>
      <w:r>
        <w:tab/>
      </w:r>
      <w:r>
        <w:fldChar w:fldCharType="begin"/>
      </w:r>
      <w:r>
        <w:instrText xml:space="preserve"> PAGEREF _Toc23507 \h </w:instrText>
      </w:r>
      <w:r>
        <w:fldChar w:fldCharType="separate"/>
      </w:r>
      <w:r>
        <w:t>23</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"_Toc23320" </w:instrText>
      </w:r>
      <w:r>
        <w:fldChar w:fldCharType="separate"/>
      </w:r>
      <w:r>
        <w:rPr>
          <w:rFonts w:hint="eastAsia"/>
        </w:rPr>
        <w:t>4.2.1 构建便捷舒适的客运服务体系</w:t>
      </w:r>
      <w:r>
        <w:tab/>
      </w:r>
      <w:r>
        <w:fldChar w:fldCharType="begin"/>
      </w:r>
      <w:r>
        <w:instrText xml:space="preserve"> PAGEREF _Toc23320 \h </w:instrText>
      </w:r>
      <w:r>
        <w:fldChar w:fldCharType="separate"/>
      </w:r>
      <w:r>
        <w:t>23</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"_Toc23181" </w:instrText>
      </w:r>
      <w:r>
        <w:fldChar w:fldCharType="separate"/>
      </w:r>
      <w:r>
        <w:rPr>
          <w:rFonts w:hint="eastAsia"/>
        </w:rPr>
        <w:t>4.2.2 构建经济高效的货运物流体系</w:t>
      </w:r>
      <w:r>
        <w:tab/>
      </w:r>
      <w:r>
        <w:fldChar w:fldCharType="begin"/>
      </w:r>
      <w:r>
        <w:instrText xml:space="preserve"> PAGEREF _Toc23181 \h </w:instrText>
      </w:r>
      <w:r>
        <w:fldChar w:fldCharType="separate"/>
      </w:r>
      <w:r>
        <w:t>24</w:t>
      </w:r>
      <w:r>
        <w:fldChar w:fldCharType="end"/>
      </w:r>
      <w:r>
        <w:fldChar w:fldCharType="end"/>
      </w:r>
    </w:p>
    <w:p>
      <w:pPr>
        <w:pStyle w:val="28"/>
        <w:tabs>
          <w:tab w:val="right" w:leader="dot" w:pos="8787"/>
          <w:tab w:val="clear" w:pos="1050"/>
          <w:tab w:val="clear" w:pos="8664"/>
        </w:tabs>
      </w:pPr>
      <w:r>
        <w:fldChar w:fldCharType="begin"/>
      </w:r>
      <w:r>
        <w:instrText xml:space="preserve"> HYPERLINK \l "_Toc27793" </w:instrText>
      </w:r>
      <w:r>
        <w:fldChar w:fldCharType="separate"/>
      </w:r>
      <w:r>
        <w:t xml:space="preserve">4.3 </w:t>
      </w:r>
      <w:r>
        <w:rPr>
          <w:rFonts w:hint="eastAsia"/>
        </w:rPr>
        <w:t>智慧引领交通运输转型升级</w:t>
      </w:r>
      <w:r>
        <w:tab/>
      </w:r>
      <w:r>
        <w:fldChar w:fldCharType="begin"/>
      </w:r>
      <w:r>
        <w:instrText xml:space="preserve"> PAGEREF _Toc27793 \h </w:instrText>
      </w:r>
      <w:r>
        <w:fldChar w:fldCharType="separate"/>
      </w:r>
      <w:r>
        <w:t>27</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"_Toc11468" </w:instrText>
      </w:r>
      <w:r>
        <w:fldChar w:fldCharType="separate"/>
      </w:r>
      <w:r>
        <w:rPr>
          <w:rFonts w:hint="eastAsia"/>
        </w:rPr>
        <w:t>4.3.1 大力推进智慧交通设施建设</w:t>
      </w:r>
      <w:r>
        <w:tab/>
      </w:r>
      <w:r>
        <w:fldChar w:fldCharType="begin"/>
      </w:r>
      <w:r>
        <w:instrText xml:space="preserve"> PAGEREF _Toc11468 \h </w:instrText>
      </w:r>
      <w:r>
        <w:fldChar w:fldCharType="separate"/>
      </w:r>
      <w:r>
        <w:t>27</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"_Toc21237" </w:instrText>
      </w:r>
      <w:r>
        <w:fldChar w:fldCharType="separate"/>
      </w:r>
      <w:r>
        <w:rPr>
          <w:rFonts w:hint="eastAsia"/>
        </w:rPr>
        <w:t>4.3.2 稳步提升公路养护管理数字化水平</w:t>
      </w:r>
      <w:r>
        <w:tab/>
      </w:r>
      <w:r>
        <w:fldChar w:fldCharType="begin"/>
      </w:r>
      <w:r>
        <w:instrText xml:space="preserve"> PAGEREF _Toc21237 \h </w:instrText>
      </w:r>
      <w:r>
        <w:fldChar w:fldCharType="separate"/>
      </w:r>
      <w:r>
        <w:t>28</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"_Toc3799" </w:instrText>
      </w:r>
      <w:r>
        <w:fldChar w:fldCharType="separate"/>
      </w:r>
      <w:r>
        <w:rPr>
          <w:rFonts w:hint="eastAsia"/>
        </w:rPr>
        <w:t>4.3.3 大力提升交通运输综合执法智慧化水平</w:t>
      </w:r>
      <w:r>
        <w:tab/>
      </w:r>
      <w:r>
        <w:fldChar w:fldCharType="begin"/>
      </w:r>
      <w:r>
        <w:instrText xml:space="preserve"> PAGEREF _Toc3799 \h </w:instrText>
      </w:r>
      <w:r>
        <w:fldChar w:fldCharType="separate"/>
      </w:r>
      <w:r>
        <w:t>29</w:t>
      </w:r>
      <w:r>
        <w:fldChar w:fldCharType="end"/>
      </w:r>
      <w:r>
        <w:fldChar w:fldCharType="end"/>
      </w:r>
    </w:p>
    <w:p>
      <w:pPr>
        <w:pStyle w:val="28"/>
        <w:tabs>
          <w:tab w:val="right" w:leader="dot" w:pos="8787"/>
          <w:tab w:val="clear" w:pos="1050"/>
          <w:tab w:val="clear" w:pos="8664"/>
        </w:tabs>
      </w:pPr>
      <w:r>
        <w:fldChar w:fldCharType="begin"/>
      </w:r>
      <w:r>
        <w:instrText xml:space="preserve"> HYPERLINK \l "_Toc26447" </w:instrText>
      </w:r>
      <w:r>
        <w:fldChar w:fldCharType="separate"/>
      </w:r>
      <w:r>
        <w:t xml:space="preserve">4.4 </w:t>
      </w:r>
      <w:r>
        <w:rPr>
          <w:rFonts w:hint="eastAsia"/>
        </w:rPr>
        <w:t>加快推进毗邻协同交通发展</w:t>
      </w:r>
      <w:r>
        <w:tab/>
      </w:r>
      <w:r>
        <w:fldChar w:fldCharType="begin"/>
      </w:r>
      <w:r>
        <w:instrText xml:space="preserve"> PAGEREF _Toc26447 \h </w:instrText>
      </w:r>
      <w:r>
        <w:fldChar w:fldCharType="separate"/>
      </w:r>
      <w:r>
        <w:t>30</w:t>
      </w:r>
      <w:r>
        <w:fldChar w:fldCharType="end"/>
      </w:r>
      <w:r>
        <w:fldChar w:fldCharType="end"/>
      </w:r>
    </w:p>
    <w:p>
      <w:pPr>
        <w:pStyle w:val="28"/>
        <w:tabs>
          <w:tab w:val="right" w:leader="dot" w:pos="8787"/>
          <w:tab w:val="clear" w:pos="1050"/>
          <w:tab w:val="clear" w:pos="8664"/>
        </w:tabs>
      </w:pPr>
      <w:r>
        <w:fldChar w:fldCharType="begin"/>
      </w:r>
      <w:r>
        <w:instrText xml:space="preserve"> HYPERLINK \l "_Toc13315" </w:instrText>
      </w:r>
      <w:r>
        <w:fldChar w:fldCharType="separate"/>
      </w:r>
      <w:r>
        <w:t xml:space="preserve">4.5 </w:t>
      </w:r>
      <w:r>
        <w:rPr>
          <w:rFonts w:hint="eastAsia"/>
        </w:rPr>
        <w:t>低碳环保推进交通绿色发展</w:t>
      </w:r>
      <w:r>
        <w:tab/>
      </w:r>
      <w:r>
        <w:fldChar w:fldCharType="begin"/>
      </w:r>
      <w:r>
        <w:instrText xml:space="preserve"> PAGEREF _Toc13315 \h </w:instrText>
      </w:r>
      <w:r>
        <w:fldChar w:fldCharType="separate"/>
      </w:r>
      <w:r>
        <w:t>31</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"_Toc7234" </w:instrText>
      </w:r>
      <w:r>
        <w:fldChar w:fldCharType="separate"/>
      </w:r>
      <w:r>
        <w:rPr>
          <w:rFonts w:hint="eastAsia"/>
        </w:rPr>
        <w:t>4.5.1 推进低碳交通基础设施建设</w:t>
      </w:r>
      <w:r>
        <w:tab/>
      </w:r>
      <w:r>
        <w:fldChar w:fldCharType="begin"/>
      </w:r>
      <w:r>
        <w:instrText xml:space="preserve"> PAGEREF _Toc7234 \h </w:instrText>
      </w:r>
      <w:r>
        <w:fldChar w:fldCharType="separate"/>
      </w:r>
      <w:r>
        <w:t>31</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"_Toc18021" </w:instrText>
      </w:r>
      <w:r>
        <w:fldChar w:fldCharType="separate"/>
      </w:r>
      <w:r>
        <w:rPr>
          <w:rFonts w:hint="eastAsia"/>
        </w:rPr>
        <w:t>4.5.2 建立绿色交通发展体系</w:t>
      </w:r>
      <w:r>
        <w:tab/>
      </w:r>
      <w:r>
        <w:fldChar w:fldCharType="begin"/>
      </w:r>
      <w:r>
        <w:instrText xml:space="preserve"> PAGEREF _Toc18021 \h </w:instrText>
      </w:r>
      <w:r>
        <w:fldChar w:fldCharType="separate"/>
      </w:r>
      <w:r>
        <w:t>32</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"_Toc30091" </w:instrText>
      </w:r>
      <w:r>
        <w:fldChar w:fldCharType="separate"/>
      </w:r>
      <w:r>
        <w:rPr>
          <w:rFonts w:hint="eastAsia"/>
        </w:rPr>
        <w:t>4.5.3 推动运输工具装备低碳转型</w:t>
      </w:r>
      <w:r>
        <w:tab/>
      </w:r>
      <w:r>
        <w:fldChar w:fldCharType="begin"/>
      </w:r>
      <w:r>
        <w:instrText xml:space="preserve"> PAGEREF _Toc30091 \h </w:instrText>
      </w:r>
      <w:r>
        <w:fldChar w:fldCharType="separate"/>
      </w:r>
      <w:r>
        <w:t>33</w:t>
      </w:r>
      <w:r>
        <w:fldChar w:fldCharType="end"/>
      </w:r>
      <w:r>
        <w:fldChar w:fldCharType="end"/>
      </w:r>
    </w:p>
    <w:p>
      <w:pPr>
        <w:pStyle w:val="28"/>
        <w:tabs>
          <w:tab w:val="right" w:leader="dot" w:pos="8787"/>
          <w:tab w:val="clear" w:pos="1050"/>
          <w:tab w:val="clear" w:pos="8664"/>
        </w:tabs>
      </w:pPr>
      <w:r>
        <w:fldChar w:fldCharType="begin"/>
      </w:r>
      <w:r>
        <w:instrText xml:space="preserve"> HYPERLINK \l "_Toc7384" </w:instrText>
      </w:r>
      <w:r>
        <w:fldChar w:fldCharType="separate"/>
      </w:r>
      <w:r>
        <w:t xml:space="preserve">4.6 </w:t>
      </w:r>
      <w:r>
        <w:rPr>
          <w:rFonts w:hint="eastAsia"/>
        </w:rPr>
        <w:t>筑牢平安交通屏障、增强交通韧性</w:t>
      </w:r>
      <w:r>
        <w:tab/>
      </w:r>
      <w:r>
        <w:fldChar w:fldCharType="begin"/>
      </w:r>
      <w:r>
        <w:instrText xml:space="preserve"> PAGEREF _Toc7384 \h </w:instrText>
      </w:r>
      <w:r>
        <w:fldChar w:fldCharType="separate"/>
      </w:r>
      <w:r>
        <w:t>33</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"_Toc4199" </w:instrText>
      </w:r>
      <w:r>
        <w:fldChar w:fldCharType="separate"/>
      </w:r>
      <w:r>
        <w:rPr>
          <w:rFonts w:hint="eastAsia"/>
        </w:rPr>
        <w:t>4.6.1 提升本质安全水平</w:t>
      </w:r>
      <w:r>
        <w:tab/>
      </w:r>
      <w:r>
        <w:fldChar w:fldCharType="begin"/>
      </w:r>
      <w:r>
        <w:instrText xml:space="preserve"> PAGEREF _Toc4199 \h </w:instrText>
      </w:r>
      <w:r>
        <w:fldChar w:fldCharType="separate"/>
      </w:r>
      <w:r>
        <w:t>33</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"_Toc8775" </w:instrText>
      </w:r>
      <w:r>
        <w:fldChar w:fldCharType="separate"/>
      </w:r>
      <w:r>
        <w:rPr>
          <w:rFonts w:hint="eastAsia"/>
        </w:rPr>
        <w:t>4.6.2 织密风险防控网络</w:t>
      </w:r>
      <w:r>
        <w:tab/>
      </w:r>
      <w:r>
        <w:fldChar w:fldCharType="begin"/>
      </w:r>
      <w:r>
        <w:instrText xml:space="preserve"> PAGEREF _Toc8775 \h </w:instrText>
      </w:r>
      <w:r>
        <w:fldChar w:fldCharType="separate"/>
      </w:r>
      <w:r>
        <w:t>34</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"_Toc27689" </w:instrText>
      </w:r>
      <w:r>
        <w:fldChar w:fldCharType="separate"/>
      </w:r>
      <w:r>
        <w:rPr>
          <w:rFonts w:hint="eastAsia"/>
        </w:rPr>
        <w:t>4.6.3 夯实安全监管基础</w:t>
      </w:r>
      <w:r>
        <w:tab/>
      </w:r>
      <w:r>
        <w:fldChar w:fldCharType="begin"/>
      </w:r>
      <w:r>
        <w:instrText xml:space="preserve"> PAGEREF _Toc27689 \h </w:instrText>
      </w:r>
      <w:r>
        <w:fldChar w:fldCharType="separate"/>
      </w:r>
      <w:r>
        <w:t>36</w:t>
      </w:r>
      <w:r>
        <w:fldChar w:fldCharType="end"/>
      </w:r>
      <w:r>
        <w:fldChar w:fldCharType="end"/>
      </w:r>
    </w:p>
    <w:p>
      <w:pPr>
        <w:pStyle w:val="28"/>
        <w:tabs>
          <w:tab w:val="right" w:leader="dot" w:pos="8787"/>
          <w:tab w:val="clear" w:pos="1050"/>
          <w:tab w:val="clear" w:pos="8664"/>
        </w:tabs>
      </w:pPr>
      <w:r>
        <w:fldChar w:fldCharType="begin"/>
      </w:r>
      <w:r>
        <w:instrText xml:space="preserve"> HYPERLINK \l "_Toc112" </w:instrText>
      </w:r>
      <w:r>
        <w:fldChar w:fldCharType="separate"/>
      </w:r>
      <w:r>
        <w:t xml:space="preserve">4.7 </w:t>
      </w:r>
      <w:r>
        <w:rPr>
          <w:rFonts w:hint="eastAsia"/>
        </w:rPr>
        <w:t>深化改革、激发动能，推进行业治理能力现代化</w:t>
      </w:r>
      <w:r>
        <w:tab/>
      </w:r>
      <w:r>
        <w:fldChar w:fldCharType="begin"/>
      </w:r>
      <w:r>
        <w:instrText xml:space="preserve"> PAGEREF _Toc112 \h </w:instrText>
      </w:r>
      <w:r>
        <w:fldChar w:fldCharType="separate"/>
      </w:r>
      <w:r>
        <w:t>37</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"_Toc23688" </w:instrText>
      </w:r>
      <w:r>
        <w:fldChar w:fldCharType="separate"/>
      </w:r>
      <w:r>
        <w:rPr>
          <w:rFonts w:hint="eastAsia"/>
        </w:rPr>
        <w:t>4.7.1 深化行业体系改革</w:t>
      </w:r>
      <w:r>
        <w:tab/>
      </w:r>
      <w:r>
        <w:fldChar w:fldCharType="begin"/>
      </w:r>
      <w:r>
        <w:instrText xml:space="preserve"> PAGEREF _Toc23688 \h </w:instrText>
      </w:r>
      <w:r>
        <w:fldChar w:fldCharType="separate"/>
      </w:r>
      <w:r>
        <w:t>37</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"_Toc29033" </w:instrText>
      </w:r>
      <w:r>
        <w:fldChar w:fldCharType="separate"/>
      </w:r>
      <w:r>
        <w:rPr>
          <w:rFonts w:hint="eastAsia"/>
        </w:rPr>
        <w:t>4.7.2 强化法治交通建设</w:t>
      </w:r>
      <w:r>
        <w:tab/>
      </w:r>
      <w:r>
        <w:fldChar w:fldCharType="begin"/>
      </w:r>
      <w:r>
        <w:instrText xml:space="preserve"> PAGEREF _Toc29033 \h </w:instrText>
      </w:r>
      <w:r>
        <w:fldChar w:fldCharType="separate"/>
      </w:r>
      <w:r>
        <w:t>38</w:t>
      </w:r>
      <w:r>
        <w:fldChar w:fldCharType="end"/>
      </w:r>
      <w:r>
        <w:fldChar w:fldCharType="end"/>
      </w:r>
    </w:p>
    <w:p>
      <w:pPr>
        <w:pStyle w:val="18"/>
        <w:tabs>
          <w:tab w:val="right" w:leader="dot" w:pos="8787"/>
          <w:tab w:val="clear" w:pos="1680"/>
          <w:tab w:val="clear" w:pos="1995"/>
          <w:tab w:val="clear" w:pos="8664"/>
        </w:tabs>
      </w:pPr>
      <w:r>
        <w:fldChar w:fldCharType="begin"/>
      </w:r>
      <w:r>
        <w:instrText xml:space="preserve"> HYPERLINK \l "_Toc7029" </w:instrText>
      </w:r>
      <w:r>
        <w:fldChar w:fldCharType="separate"/>
      </w:r>
      <w:r>
        <w:rPr>
          <w:rFonts w:hint="eastAsia"/>
        </w:rPr>
        <w:t>4.7.3 加强信用交通建设</w:t>
      </w:r>
      <w:r>
        <w:tab/>
      </w:r>
      <w:r>
        <w:fldChar w:fldCharType="begin"/>
      </w:r>
      <w:r>
        <w:instrText xml:space="preserve"> PAGEREF _Toc7029 \h </w:instrText>
      </w:r>
      <w:r>
        <w:fldChar w:fldCharType="separate"/>
      </w:r>
      <w:r>
        <w:t>39</w:t>
      </w:r>
      <w:r>
        <w:fldChar w:fldCharType="end"/>
      </w:r>
      <w:r>
        <w:fldChar w:fldCharType="end"/>
      </w:r>
    </w:p>
    <w:p>
      <w:pPr>
        <w:pStyle w:val="25"/>
        <w:tabs>
          <w:tab w:val="right" w:leader="dot" w:pos="8787"/>
          <w:tab w:val="clear" w:pos="1050"/>
          <w:tab w:val="clear" w:pos="1260"/>
          <w:tab w:val="clear" w:pos="8664"/>
        </w:tabs>
      </w:pPr>
      <w:r>
        <w:fldChar w:fldCharType="begin"/>
      </w:r>
      <w:r>
        <w:instrText xml:space="preserve"> HYPERLINK \l "_Toc24176" </w:instrText>
      </w:r>
      <w:r>
        <w:fldChar w:fldCharType="separate"/>
      </w:r>
      <w:r>
        <w:rPr>
          <w:rFonts w:hint="eastAsia"/>
          <w:szCs w:val="32"/>
        </w:rPr>
        <w:t xml:space="preserve">第5章 </w:t>
      </w:r>
      <w:r>
        <w:rPr>
          <w:rFonts w:hint="eastAsia"/>
          <w:szCs w:val="36"/>
        </w:rPr>
        <w:t>保障措施</w:t>
      </w:r>
      <w:r>
        <w:tab/>
      </w:r>
      <w:r>
        <w:fldChar w:fldCharType="begin"/>
      </w:r>
      <w:r>
        <w:instrText xml:space="preserve"> PAGEREF _Toc24176 \h </w:instrText>
      </w:r>
      <w:r>
        <w:fldChar w:fldCharType="separate"/>
      </w:r>
      <w:r>
        <w:t>41</w:t>
      </w:r>
      <w:r>
        <w:fldChar w:fldCharType="end"/>
      </w:r>
      <w:r>
        <w:fldChar w:fldCharType="end"/>
      </w:r>
    </w:p>
    <w:p>
      <w:pPr>
        <w:pStyle w:val="28"/>
        <w:tabs>
          <w:tab w:val="right" w:leader="dot" w:pos="8787"/>
          <w:tab w:val="clear" w:pos="1050"/>
          <w:tab w:val="clear" w:pos="8664"/>
        </w:tabs>
      </w:pPr>
      <w:r>
        <w:fldChar w:fldCharType="begin"/>
      </w:r>
      <w:r>
        <w:instrText xml:space="preserve"> HYPERLINK \l "_Toc27064" </w:instrText>
      </w:r>
      <w:r>
        <w:fldChar w:fldCharType="separate"/>
      </w:r>
      <w:r>
        <w:t xml:space="preserve">5.1 </w:t>
      </w:r>
      <w:r>
        <w:rPr>
          <w:rFonts w:hint="eastAsia"/>
        </w:rPr>
        <w:t>加强组织领导</w:t>
      </w:r>
      <w:r>
        <w:tab/>
      </w:r>
      <w:r>
        <w:fldChar w:fldCharType="begin"/>
      </w:r>
      <w:r>
        <w:instrText xml:space="preserve"> PAGEREF _Toc27064 \h </w:instrText>
      </w:r>
      <w:r>
        <w:fldChar w:fldCharType="separate"/>
      </w:r>
      <w:r>
        <w:t>41</w:t>
      </w:r>
      <w:r>
        <w:fldChar w:fldCharType="end"/>
      </w:r>
      <w:r>
        <w:fldChar w:fldCharType="end"/>
      </w:r>
    </w:p>
    <w:p>
      <w:pPr>
        <w:pStyle w:val="28"/>
        <w:tabs>
          <w:tab w:val="right" w:leader="dot" w:pos="8787"/>
          <w:tab w:val="clear" w:pos="1050"/>
          <w:tab w:val="clear" w:pos="8664"/>
        </w:tabs>
      </w:pPr>
      <w:r>
        <w:fldChar w:fldCharType="begin"/>
      </w:r>
      <w:r>
        <w:instrText xml:space="preserve"> HYPERLINK \l "_Toc13239" </w:instrText>
      </w:r>
      <w:r>
        <w:fldChar w:fldCharType="separate"/>
      </w:r>
      <w:r>
        <w:t xml:space="preserve">5.2 </w:t>
      </w:r>
      <w:r>
        <w:rPr>
          <w:rFonts w:hint="eastAsia"/>
        </w:rPr>
        <w:t>注重规划衔接</w:t>
      </w:r>
      <w:r>
        <w:tab/>
      </w:r>
      <w:r>
        <w:fldChar w:fldCharType="begin"/>
      </w:r>
      <w:r>
        <w:instrText xml:space="preserve"> PAGEREF _Toc13239 \h </w:instrText>
      </w:r>
      <w:r>
        <w:fldChar w:fldCharType="separate"/>
      </w:r>
      <w:r>
        <w:t>41</w:t>
      </w:r>
      <w:r>
        <w:fldChar w:fldCharType="end"/>
      </w:r>
      <w:r>
        <w:fldChar w:fldCharType="end"/>
      </w:r>
    </w:p>
    <w:p>
      <w:pPr>
        <w:pStyle w:val="28"/>
        <w:tabs>
          <w:tab w:val="right" w:leader="dot" w:pos="8787"/>
          <w:tab w:val="clear" w:pos="1050"/>
          <w:tab w:val="clear" w:pos="8664"/>
        </w:tabs>
      </w:pPr>
      <w:r>
        <w:fldChar w:fldCharType="begin"/>
      </w:r>
      <w:r>
        <w:instrText xml:space="preserve"> HYPERLINK \l "_Toc14501" </w:instrText>
      </w:r>
      <w:r>
        <w:fldChar w:fldCharType="separate"/>
      </w:r>
      <w:r>
        <w:t xml:space="preserve">5.3 </w:t>
      </w:r>
      <w:r>
        <w:rPr>
          <w:rFonts w:hint="eastAsia"/>
        </w:rPr>
        <w:t>拓宽融资渠道</w:t>
      </w:r>
      <w:r>
        <w:tab/>
      </w:r>
      <w:r>
        <w:fldChar w:fldCharType="begin"/>
      </w:r>
      <w:r>
        <w:instrText xml:space="preserve"> PAGEREF _Toc14501 \h </w:instrText>
      </w:r>
      <w:r>
        <w:fldChar w:fldCharType="separate"/>
      </w:r>
      <w:r>
        <w:t>41</w:t>
      </w:r>
      <w:r>
        <w:fldChar w:fldCharType="end"/>
      </w:r>
      <w:r>
        <w:fldChar w:fldCharType="end"/>
      </w:r>
    </w:p>
    <w:p>
      <w:pPr>
        <w:pStyle w:val="28"/>
        <w:tabs>
          <w:tab w:val="right" w:leader="dot" w:pos="8787"/>
          <w:tab w:val="clear" w:pos="1050"/>
          <w:tab w:val="clear" w:pos="8664"/>
        </w:tabs>
      </w:pPr>
      <w:r>
        <w:fldChar w:fldCharType="begin"/>
      </w:r>
      <w:r>
        <w:instrText xml:space="preserve"> HYPERLINK \l "_Toc19912" </w:instrText>
      </w:r>
      <w:r>
        <w:fldChar w:fldCharType="separate"/>
      </w:r>
      <w:r>
        <w:t xml:space="preserve">5.4 </w:t>
      </w:r>
      <w:r>
        <w:rPr>
          <w:rFonts w:hint="eastAsia"/>
        </w:rPr>
        <w:t>强化规划评估</w:t>
      </w:r>
      <w:r>
        <w:tab/>
      </w:r>
      <w:r>
        <w:fldChar w:fldCharType="begin"/>
      </w:r>
      <w:r>
        <w:instrText xml:space="preserve"> PAGEREF _Toc19912 \h </w:instrText>
      </w:r>
      <w:r>
        <w:fldChar w:fldCharType="separate"/>
      </w:r>
      <w:r>
        <w:t>42</w:t>
      </w:r>
      <w:r>
        <w:fldChar w:fldCharType="end"/>
      </w:r>
      <w:r>
        <w:fldChar w:fldCharType="end"/>
      </w:r>
    </w:p>
    <w:p>
      <w:pPr>
        <w:pStyle w:val="28"/>
        <w:tabs>
          <w:tab w:val="right" w:leader="dot" w:pos="8787"/>
          <w:tab w:val="clear" w:pos="1050"/>
          <w:tab w:val="clear" w:pos="8664"/>
        </w:tabs>
      </w:pPr>
      <w:r>
        <w:fldChar w:fldCharType="begin"/>
      </w:r>
      <w:r>
        <w:instrText xml:space="preserve"> HYPERLINK \l "_Toc31878" </w:instrText>
      </w:r>
      <w:r>
        <w:fldChar w:fldCharType="separate"/>
      </w:r>
      <w:r>
        <w:t xml:space="preserve">5.5 </w:t>
      </w:r>
      <w:r>
        <w:rPr>
          <w:rFonts w:hint="eastAsia"/>
        </w:rPr>
        <w:t>加强要素保障</w:t>
      </w:r>
      <w:r>
        <w:tab/>
      </w:r>
      <w:r>
        <w:fldChar w:fldCharType="begin"/>
      </w:r>
      <w:r>
        <w:instrText xml:space="preserve"> PAGEREF _Toc31878 \h </w:instrText>
      </w:r>
      <w:r>
        <w:fldChar w:fldCharType="separate"/>
      </w:r>
      <w:r>
        <w:t>42</w:t>
      </w:r>
      <w:r>
        <w:fldChar w:fldCharType="end"/>
      </w:r>
      <w:r>
        <w:fldChar w:fldCharType="end"/>
      </w:r>
    </w:p>
    <w:p>
      <w:pPr>
        <w:pStyle w:val="25"/>
        <w:tabs>
          <w:tab w:val="right" w:leader="dot" w:pos="8787"/>
          <w:tab w:val="clear" w:pos="1050"/>
          <w:tab w:val="clear" w:pos="1260"/>
          <w:tab w:val="clear" w:pos="8664"/>
        </w:tabs>
      </w:pPr>
      <w:r>
        <w:fldChar w:fldCharType="begin"/>
      </w:r>
      <w:r>
        <w:instrText xml:space="preserve"> HYPERLINK \l "_Toc22536" </w:instrText>
      </w:r>
      <w:r>
        <w:fldChar w:fldCharType="separate"/>
      </w:r>
      <w:r>
        <w:rPr>
          <w:rFonts w:hint="eastAsia" w:ascii="宋体" w:hAnsi="宋体"/>
        </w:rPr>
        <w:t>附表：叶集区“十五五”交通运输建设项目一览表</w:t>
      </w:r>
      <w:r>
        <w:tab/>
      </w:r>
      <w:r>
        <w:fldChar w:fldCharType="begin"/>
      </w:r>
      <w:r>
        <w:instrText xml:space="preserve"> PAGEREF _Toc22536 \h </w:instrText>
      </w:r>
      <w:r>
        <w:fldChar w:fldCharType="separate"/>
      </w:r>
      <w:r>
        <w:t>44</w:t>
      </w:r>
      <w:r>
        <w:fldChar w:fldCharType="end"/>
      </w:r>
      <w:r>
        <w:fldChar w:fldCharType="end"/>
      </w:r>
    </w:p>
    <w:p>
      <w:pPr>
        <w:spacing w:line="408" w:lineRule="auto"/>
        <w:ind w:firstLine="0" w:firstLineChars="0"/>
      </w:pPr>
      <w:r>
        <w:fldChar w:fldCharType="end"/>
      </w:r>
      <w:r>
        <w:rPr>
          <w:rFonts w:hint="eastAsia"/>
        </w:rPr>
        <w:t>附图......    ...................................................................................................48</w:t>
      </w:r>
    </w:p>
    <w:p>
      <w:pPr>
        <w:ind w:firstLine="560"/>
        <w:sectPr>
          <w:headerReference r:id="rId11" w:type="default"/>
          <w:footerReference r:id="rId12" w:type="default"/>
          <w:footnotePr>
            <w:numFmt w:val="decimalEnclosedCircleChinese"/>
          </w:footnotePr>
          <w:pgSz w:w="11906" w:h="16838"/>
          <w:pgMar w:top="1701" w:right="1418" w:bottom="1701" w:left="1701" w:header="1135" w:footer="992" w:gutter="0"/>
          <w:pgNumType w:fmt="upperRoman" w:start="1"/>
          <w:cols w:space="720" w:num="1"/>
          <w:docGrid w:type="lines" w:linePitch="312" w:charSpace="0"/>
        </w:sectPr>
      </w:pPr>
      <w:r>
        <w:tab/>
      </w:r>
    </w:p>
    <w:p>
      <w:pPr>
        <w:adjustRightInd/>
        <w:spacing w:before="156" w:beforeLines="50" w:after="156" w:afterLines="50"/>
        <w:ind w:firstLine="0" w:firstLineChars="0"/>
        <w:jc w:val="center"/>
        <w:outlineLvl w:val="0"/>
        <w:rPr>
          <w:rFonts w:ascii="仿宋_GB2312" w:hAnsi="仿宋_GB2312" w:cs="仿宋_GB2312"/>
          <w:b/>
          <w:bCs/>
          <w:sz w:val="36"/>
          <w:szCs w:val="28"/>
        </w:rPr>
      </w:pPr>
      <w:bookmarkStart w:id="0" w:name="_Toc10261"/>
      <w:bookmarkStart w:id="1" w:name="_Toc207525105"/>
      <w:bookmarkStart w:id="2" w:name="_Toc205548706"/>
      <w:bookmarkStart w:id="3" w:name="_Toc205527497"/>
      <w:bookmarkStart w:id="4" w:name="_Toc205543408"/>
      <w:r>
        <w:rPr>
          <w:rFonts w:hint="eastAsia" w:ascii="仿宋_GB2312" w:hAnsi="仿宋_GB2312" w:cs="仿宋_GB2312"/>
          <w:b/>
          <w:bCs/>
          <w:sz w:val="36"/>
          <w:szCs w:val="28"/>
        </w:rPr>
        <w:t>前 言</w:t>
      </w:r>
      <w:bookmarkEnd w:id="0"/>
    </w:p>
    <w:p>
      <w:pPr>
        <w:adjustRightInd/>
        <w:spacing w:before="156" w:beforeLines="50" w:after="156" w:afterLines="50"/>
        <w:ind w:firstLine="640"/>
        <w:rPr>
          <w:sz w:val="32"/>
          <w:szCs w:val="32"/>
        </w:rPr>
      </w:pPr>
      <w:r>
        <w:rPr>
          <w:kern w:val="21"/>
          <w:sz w:val="32"/>
          <w:szCs w:val="32"/>
        </w:rPr>
        <w:t>叶集区地处安徽西部，是六安对接皖豫的前沿阵地，叶集区委、区政府明确以“活力叶集、开放叶集、和美叶集、文化叶集”建设为经济发展方向，将交通先行作为推动叶集固始省际毗邻地区合作和金叶区域经济一体化、产业协同发展的核心战略，“十四五”期间，交通运输工作取得了一系列成果。叶集区交通行业发展呈现“基础夯实、动能集聚”的态势</w:t>
      </w:r>
      <w:r>
        <w:rPr>
          <w:rFonts w:hint="eastAsia"/>
          <w:kern w:val="21"/>
          <w:sz w:val="32"/>
          <w:szCs w:val="32"/>
        </w:rPr>
        <w:t>，</w:t>
      </w:r>
      <w:r>
        <w:rPr>
          <w:kern w:val="21"/>
          <w:sz w:val="32"/>
          <w:szCs w:val="32"/>
        </w:rPr>
        <w:t>目前已形成以G40沪陕高速、G42沪蓉高速为主动脉，G312、G105等国省道为脉络，农村公路为毛细血管的公路网络体系，为全面建设现代化美好叶集奠定了坚实基础。</w:t>
      </w:r>
    </w:p>
    <w:p>
      <w:pPr>
        <w:adjustRightInd/>
        <w:spacing w:before="156" w:beforeLines="50" w:after="156" w:afterLines="50"/>
        <w:ind w:firstLine="640"/>
        <w:rPr>
          <w:sz w:val="32"/>
          <w:szCs w:val="32"/>
        </w:rPr>
      </w:pPr>
      <w:r>
        <w:rPr>
          <w:sz w:val="32"/>
          <w:szCs w:val="32"/>
        </w:rPr>
        <w:t>“十五五”时期是基本实现社会主义现代化夯实基础、全面发力的关键时期，在基本实现社会主义现代化进程中具有承前启后的重要地位；</w:t>
      </w:r>
      <w:r>
        <w:rPr>
          <w:kern w:val="0"/>
          <w:sz w:val="32"/>
          <w:szCs w:val="32"/>
          <w:lang w:bidi="ar"/>
        </w:rPr>
        <w:t>是安徽省力争“率先在交通基础设施领域实现交通强省目标”的关键攻坚期；是六安市在长三角一体化发展、中部地区高质量发展、新时代大别山革命老区协同推进高质量发展、皖北地区全面振兴发展、合六同城化等重大战略中“左右逢源”乘势而上的重要机遇期；也是</w:t>
      </w:r>
      <w:r>
        <w:rPr>
          <w:sz w:val="32"/>
          <w:szCs w:val="32"/>
        </w:rPr>
        <w:t>立足叶集特色产业集聚区、宜居宜业幸福城区、乡村全面振兴样板区、皖豫毗邻一体化发展</w:t>
      </w:r>
      <w:r>
        <w:rPr>
          <w:rFonts w:hint="eastAsia"/>
          <w:sz w:val="32"/>
          <w:szCs w:val="32"/>
        </w:rPr>
        <w:t>的叶集版</w:t>
      </w:r>
      <w:r>
        <w:rPr>
          <w:sz w:val="32"/>
          <w:szCs w:val="32"/>
        </w:rPr>
        <w:t>“三</w:t>
      </w:r>
      <w:r>
        <w:rPr>
          <w:rFonts w:hint="eastAsia"/>
          <w:sz w:val="32"/>
          <w:szCs w:val="32"/>
        </w:rPr>
        <w:t>地</w:t>
      </w:r>
      <w:r>
        <w:rPr>
          <w:sz w:val="32"/>
          <w:szCs w:val="32"/>
        </w:rPr>
        <w:t>一</w:t>
      </w:r>
      <w:r>
        <w:rPr>
          <w:rFonts w:hint="eastAsia"/>
          <w:sz w:val="32"/>
          <w:szCs w:val="32"/>
        </w:rPr>
        <w:t>区</w:t>
      </w:r>
      <w:r>
        <w:rPr>
          <w:sz w:val="32"/>
          <w:szCs w:val="32"/>
        </w:rPr>
        <w:t>”发展定位，全力推进活力叶集、开放叶集、和美叶集、文化叶集建设的重要时期。</w:t>
      </w:r>
    </w:p>
    <w:p>
      <w:pPr>
        <w:adjustRightInd/>
        <w:spacing w:before="156" w:beforeLines="50" w:after="156" w:afterLines="50"/>
        <w:ind w:firstLine="640"/>
        <w:rPr>
          <w:sz w:val="32"/>
          <w:szCs w:val="32"/>
        </w:rPr>
      </w:pPr>
      <w:r>
        <w:rPr>
          <w:sz w:val="32"/>
          <w:szCs w:val="32"/>
        </w:rPr>
        <w:t>“十五五”时期面临的新形势对叶集区交通运输发展提出了更高的要求，为科学谋划推进“十五五”期叶集区交通运输发展，编制本规划。</w:t>
      </w:r>
      <w:r>
        <w:rPr>
          <w:rFonts w:hint="eastAsia"/>
          <w:sz w:val="32"/>
          <w:szCs w:val="32"/>
        </w:rPr>
        <w:t>本次规划研究拟立足于叶集区交通区位和综合交通发展基础，紧紧围绕交通运输部提出的“到2030年，基本形成安全、便捷、高效、绿色的现代综合交通运输体系”的这一主题，提出叶集区“十五五”期间的综合交通运输体系发展目标及建设计划，推进叶集区综合交通运输体系的进一步发展。</w:t>
      </w:r>
    </w:p>
    <w:p>
      <w:pPr>
        <w:adjustRightInd/>
        <w:spacing w:before="156" w:beforeLines="50" w:after="156" w:afterLines="50"/>
        <w:ind w:firstLine="640"/>
        <w:rPr>
          <w:sz w:val="32"/>
          <w:szCs w:val="32"/>
        </w:rPr>
      </w:pPr>
      <w:r>
        <w:rPr>
          <w:sz w:val="32"/>
          <w:szCs w:val="32"/>
        </w:rPr>
        <w:t>叶集区规划坚持贯彻新发展理念，以交通强国战略为引领，深入贯彻落实上级政策文件精神，紧紧围绕叶集区经济社会发展需求，坚持问题导向和目标导向，着力补短板、强弱项、提品质，重点聚焦构建“内畅外联、立体多元”的综合交通体系，以高速公路、国省干线升级改造为骨架，以通用机场、区域铁路为突破，全面强化与长三角、皖豫边界区域的交通互联互通，为产业集聚、城乡融合提供强力支撑。</w:t>
      </w:r>
    </w:p>
    <w:p>
      <w:pPr>
        <w:adjustRightInd/>
        <w:spacing w:before="156" w:beforeLines="50" w:after="156" w:afterLines="50"/>
        <w:ind w:firstLine="560"/>
        <w:rPr>
          <w:rFonts w:ascii="仿宋_GB2312" w:hAnsi="仿宋_GB2312" w:cs="仿宋_GB2312"/>
          <w:szCs w:val="22"/>
        </w:rPr>
      </w:pPr>
    </w:p>
    <w:p>
      <w:pPr>
        <w:pStyle w:val="57"/>
        <w:numPr>
          <w:ilvl w:val="0"/>
          <w:numId w:val="1"/>
        </w:numPr>
        <w:tabs>
          <w:tab w:val="left" w:pos="462"/>
          <w:tab w:val="left" w:pos="540"/>
          <w:tab w:val="left" w:pos="966"/>
          <w:tab w:val="left" w:pos="1145"/>
          <w:tab w:val="clear" w:pos="0"/>
        </w:tabs>
        <w:snapToGrid w:val="0"/>
        <w:spacing w:before="156" w:beforeLines="50" w:after="0"/>
        <w:jc w:val="center"/>
        <w:rPr>
          <w:rFonts w:ascii="Times New Roman" w:cs="Times New Roman"/>
          <w:sz w:val="36"/>
          <w:szCs w:val="36"/>
        </w:rPr>
        <w:sectPr>
          <w:headerReference r:id="rId13" w:type="default"/>
          <w:footerReference r:id="rId14" w:type="default"/>
          <w:pgSz w:w="11906" w:h="16838"/>
          <w:pgMar w:top="1574" w:right="1418" w:bottom="1701" w:left="1701" w:header="851" w:footer="921" w:gutter="0"/>
          <w:pgNumType w:start="1"/>
          <w:cols w:space="720" w:num="1"/>
          <w:docGrid w:type="lines" w:linePitch="312" w:charSpace="0"/>
        </w:sectPr>
      </w:pPr>
    </w:p>
    <w:p>
      <w:pPr>
        <w:pStyle w:val="57"/>
        <w:numPr>
          <w:ilvl w:val="0"/>
          <w:numId w:val="1"/>
        </w:numPr>
        <w:tabs>
          <w:tab w:val="left" w:pos="462"/>
          <w:tab w:val="left" w:pos="540"/>
          <w:tab w:val="left" w:pos="966"/>
          <w:tab w:val="left" w:pos="1145"/>
          <w:tab w:val="clear" w:pos="0"/>
        </w:tabs>
        <w:snapToGrid w:val="0"/>
        <w:spacing w:before="156" w:beforeLines="50" w:after="0"/>
        <w:jc w:val="center"/>
        <w:rPr>
          <w:rFonts w:ascii="Times New Roman" w:cs="Times New Roman"/>
          <w:sz w:val="36"/>
          <w:szCs w:val="36"/>
        </w:rPr>
      </w:pPr>
      <w:bookmarkStart w:id="5" w:name="_Toc24170"/>
      <w:r>
        <w:rPr>
          <w:rFonts w:hint="eastAsia" w:ascii="Times New Roman" w:cs="Times New Roman"/>
          <w:sz w:val="36"/>
          <w:szCs w:val="36"/>
        </w:rPr>
        <w:t>发展基础</w:t>
      </w:r>
      <w:bookmarkEnd w:id="5"/>
    </w:p>
    <w:p>
      <w:pPr>
        <w:pStyle w:val="3"/>
        <w:tabs>
          <w:tab w:val="left" w:pos="630"/>
          <w:tab w:val="clear" w:pos="0"/>
        </w:tabs>
        <w:spacing w:before="468" w:beforeLines="150" w:after="240"/>
        <w:rPr>
          <w:rFonts w:ascii="Times New Roman" w:hAnsi="Times New Roman"/>
          <w:sz w:val="32"/>
        </w:rPr>
      </w:pPr>
      <w:bookmarkStart w:id="6" w:name="_Toc30280"/>
      <w:r>
        <w:rPr>
          <w:rFonts w:hint="eastAsia" w:ascii="Times New Roman" w:hAnsi="Times New Roman"/>
          <w:sz w:val="32"/>
        </w:rPr>
        <w:t>发展成效</w:t>
      </w:r>
      <w:bookmarkEnd w:id="6"/>
    </w:p>
    <w:p>
      <w:pPr>
        <w:pStyle w:val="21"/>
        <w:spacing w:after="0" w:line="360" w:lineRule="auto"/>
        <w:ind w:left="0" w:leftChars="0" w:firstLine="640"/>
        <w:rPr>
          <w:kern w:val="21"/>
          <w:sz w:val="32"/>
          <w:szCs w:val="32"/>
        </w:rPr>
      </w:pPr>
      <w:r>
        <w:rPr>
          <w:rFonts w:hint="eastAsia"/>
          <w:kern w:val="21"/>
          <w:sz w:val="32"/>
          <w:szCs w:val="32"/>
        </w:rPr>
        <w:t>叶集区地处安徽西部，</w:t>
      </w:r>
      <w:r>
        <w:rPr>
          <w:rFonts w:hint="eastAsia"/>
          <w:sz w:val="32"/>
          <w:szCs w:val="32"/>
        </w:rPr>
        <w:t>素有“安徽西大门”和“大别山门户”之称，地处皖豫交界，东融长三角，西接中原地区，兼具长三角向西辐射前沿和中原地区向东融入关键节点的双重区位优势。叶集区</w:t>
      </w:r>
      <w:r>
        <w:rPr>
          <w:rFonts w:hint="eastAsia"/>
          <w:kern w:val="21"/>
          <w:sz w:val="32"/>
          <w:szCs w:val="32"/>
        </w:rPr>
        <w:t>是六安对接皖豫的前沿阵地，</w:t>
      </w:r>
      <w:r>
        <w:rPr>
          <w:rFonts w:hint="eastAsia"/>
          <w:sz w:val="32"/>
          <w:szCs w:val="32"/>
        </w:rPr>
        <w:t>境内陆路交通发达，已形成沪陕与沪蓉两条高速、宁西铁路、G312、G105、G529等四条国道穿境而过的“两高速四国道一铁路”网络格局，并设有叶集铁路客货站，距合肥新桥国际机场约1小时车程；城乡公交一体化覆盖全域，构建了“叶集半小时快速畅达交通圈”。</w:t>
      </w:r>
    </w:p>
    <w:p>
      <w:pPr>
        <w:pStyle w:val="21"/>
        <w:spacing w:after="0" w:line="360" w:lineRule="auto"/>
        <w:ind w:left="0" w:leftChars="0" w:firstLine="640"/>
        <w:rPr>
          <w:kern w:val="21"/>
          <w:sz w:val="32"/>
          <w:szCs w:val="32"/>
        </w:rPr>
      </w:pPr>
      <w:r>
        <w:rPr>
          <w:rFonts w:hint="eastAsia"/>
          <w:kern w:val="21"/>
          <w:sz w:val="32"/>
          <w:szCs w:val="32"/>
        </w:rPr>
        <w:t>“十四五”期间，叶集区委、区政府明确以“活力叶集、开放叶集、和美叶集、文化叶集”建设为经济发展方向，将交通先行作为推动叶集固始省际毗邻地区合作和金叶区域经济一体化、产业协同发展的核心战略，以交通先行促进跨省联动，通过推进G312、G529、S245等干线项目建设，推动G632、S437等跨区域交通项目前期工作，加速“通道+网络”系统集成，助力叶集成长为长三角与中部地区要素对流的核心节点。交通运输工作取得了一系列成果。</w:t>
      </w:r>
    </w:p>
    <w:p>
      <w:pPr>
        <w:pStyle w:val="21"/>
        <w:spacing w:after="0" w:line="360" w:lineRule="auto"/>
        <w:ind w:left="0" w:leftChars="0" w:firstLine="643"/>
        <w:rPr>
          <w:rFonts w:eastAsia="楷体_GB2312"/>
          <w:b/>
          <w:bCs/>
          <w:kern w:val="21"/>
          <w:sz w:val="32"/>
          <w:szCs w:val="32"/>
        </w:rPr>
      </w:pPr>
      <w:r>
        <w:rPr>
          <w:rFonts w:hint="eastAsia" w:eastAsia="楷体_GB2312"/>
          <w:b/>
          <w:bCs/>
          <w:kern w:val="21"/>
          <w:sz w:val="32"/>
          <w:szCs w:val="32"/>
        </w:rPr>
        <w:t>一是</w:t>
      </w:r>
      <w:r>
        <w:rPr>
          <w:rFonts w:eastAsia="楷体_GB2312"/>
          <w:b/>
          <w:bCs/>
          <w:kern w:val="21"/>
          <w:sz w:val="32"/>
          <w:szCs w:val="32"/>
        </w:rPr>
        <w:t>交通项目建设成效显著</w:t>
      </w:r>
    </w:p>
    <w:p>
      <w:pPr>
        <w:pStyle w:val="21"/>
        <w:spacing w:after="0" w:line="360" w:lineRule="auto"/>
        <w:ind w:left="0" w:leftChars="0" w:firstLine="640"/>
        <w:rPr>
          <w:kern w:val="21"/>
          <w:sz w:val="32"/>
          <w:szCs w:val="32"/>
        </w:rPr>
      </w:pPr>
      <w:r>
        <w:rPr>
          <w:rFonts w:hint="eastAsia"/>
          <w:kern w:val="21"/>
          <w:sz w:val="32"/>
          <w:szCs w:val="32"/>
        </w:rPr>
        <w:t>叶集区交通行业发展呈现“基础夯实、动能集聚”的态势。目前已形成以G40沪陕高速、G42沪蓉高速为主动脉，G312、G105等国省道为脉络，农村公路为毛细血管的公路网络体系。“十四五”期间，新改建国省干线公路19公里，完成投资19.8亿元，相继建成G312叶集段（五里桥至固始县界）改建工程、S245叶集段（四方塘至金寨界）改建工程、G529金岳线叶集段新建工程（公路段）。配合开展G40合肥至大顾店四改八、G312六安西至大顾店、S329姚李至戚家桥建设。“四好农村路”建设成效斐然，21.365公里县道升级改造、建制村通双车道3.1公里、137.555公里联网路、40座危桥改造等项目相继完工，农村公路的通行条件得到极大改善，为乡村振兴提供了有力支撑。同时，成功创建安徽省“四好农村路”示范县、安徽省“城乡交通运输一体化示范县”，X308龙叶路成功创建成省级品质示范路并获得“黄山杯”、省优质工程奖、安徽省第一批平安示范工地称号。我区交通已实现“县城通高速”，市、县通一级公路，乡镇通二级以上公路，国省干线公路网络里程达131.726公里，路网密度位居全市前列。农村公路危桥改造已动态清零，率先在全市完成行政村通6.5米道路，10户以上自然村通4.5米硬化路，建制村通双车道达比例达94.29%，位居全市第一。</w:t>
      </w:r>
    </w:p>
    <w:p>
      <w:pPr>
        <w:pStyle w:val="21"/>
        <w:spacing w:after="0" w:line="360" w:lineRule="auto"/>
        <w:ind w:left="0" w:leftChars="0" w:firstLine="643"/>
        <w:rPr>
          <w:rFonts w:eastAsia="楷体_GB2312"/>
          <w:b/>
          <w:bCs/>
          <w:kern w:val="21"/>
          <w:sz w:val="32"/>
          <w:szCs w:val="32"/>
        </w:rPr>
      </w:pPr>
      <w:r>
        <w:rPr>
          <w:rFonts w:hint="eastAsia" w:eastAsia="楷体_GB2312"/>
          <w:b/>
          <w:bCs/>
          <w:kern w:val="21"/>
          <w:sz w:val="32"/>
          <w:szCs w:val="32"/>
        </w:rPr>
        <w:t>二是重点项目前期推进有力</w:t>
      </w:r>
    </w:p>
    <w:p>
      <w:pPr>
        <w:pStyle w:val="21"/>
        <w:spacing w:after="0" w:line="360" w:lineRule="auto"/>
        <w:ind w:left="0" w:leftChars="0" w:firstLine="640"/>
        <w:rPr>
          <w:kern w:val="21"/>
          <w:sz w:val="32"/>
          <w:szCs w:val="32"/>
        </w:rPr>
      </w:pPr>
      <w:r>
        <w:rPr>
          <w:rFonts w:hint="eastAsia"/>
          <w:kern w:val="21"/>
          <w:sz w:val="32"/>
          <w:szCs w:val="32"/>
        </w:rPr>
        <w:t>高度重视项目前期工作，提前布局谋划，抓好重大项目前期和计划管理，确保“在建一批、开工一批、储备一批”。“十四五”期间共启动G632、G105、G529等10个项目前期工作，其中G632叶集平岗段、G632姚李至平岗段、G529孙岗至平岗段等6个项目纳入交通部、省市规划项目库，G632叶集平岗段新建工程、G529孙岗至平岗段新改建工程、G105叶集段改建工程基本具备招标条件。</w:t>
      </w:r>
    </w:p>
    <w:p>
      <w:pPr>
        <w:pStyle w:val="21"/>
        <w:spacing w:after="0" w:line="360" w:lineRule="auto"/>
        <w:ind w:left="0" w:leftChars="0" w:firstLine="643"/>
        <w:rPr>
          <w:rFonts w:eastAsia="楷体_GB2312"/>
          <w:b/>
          <w:bCs/>
          <w:kern w:val="21"/>
          <w:sz w:val="32"/>
          <w:szCs w:val="32"/>
        </w:rPr>
      </w:pPr>
      <w:r>
        <w:rPr>
          <w:rFonts w:hint="eastAsia" w:eastAsia="楷体_GB2312"/>
          <w:b/>
          <w:bCs/>
          <w:kern w:val="21"/>
          <w:sz w:val="32"/>
          <w:szCs w:val="32"/>
        </w:rPr>
        <w:t>三是</w:t>
      </w:r>
      <w:r>
        <w:rPr>
          <w:rFonts w:eastAsia="楷体_GB2312"/>
          <w:b/>
          <w:bCs/>
          <w:kern w:val="21"/>
          <w:sz w:val="32"/>
          <w:szCs w:val="32"/>
        </w:rPr>
        <w:t>道路运输事业跨越发展</w:t>
      </w:r>
    </w:p>
    <w:p>
      <w:pPr>
        <w:pStyle w:val="21"/>
        <w:spacing w:after="0" w:line="360" w:lineRule="auto"/>
        <w:ind w:left="0" w:leftChars="0" w:firstLine="643"/>
        <w:rPr>
          <w:kern w:val="21"/>
          <w:sz w:val="32"/>
          <w:szCs w:val="32"/>
        </w:rPr>
      </w:pPr>
      <w:r>
        <w:rPr>
          <w:b/>
          <w:bCs/>
          <w:kern w:val="21"/>
          <w:sz w:val="32"/>
          <w:szCs w:val="32"/>
        </w:rPr>
        <w:t>城乡一体化运输均衡发展。</w:t>
      </w:r>
      <w:r>
        <w:rPr>
          <w:rFonts w:hint="eastAsia"/>
          <w:kern w:val="21"/>
          <w:sz w:val="32"/>
          <w:szCs w:val="32"/>
        </w:rPr>
        <w:t>“十四五”期间，叶集区</w:t>
      </w:r>
      <w:r>
        <w:rPr>
          <w:kern w:val="21"/>
          <w:sz w:val="32"/>
          <w:szCs w:val="32"/>
        </w:rPr>
        <w:t>成功创建安徽省“城乡交通运输一体化示范县”，城乡客运网络覆盖率达100%</w:t>
      </w:r>
      <w:r>
        <w:rPr>
          <w:rFonts w:hint="eastAsia"/>
          <w:kern w:val="21"/>
          <w:sz w:val="32"/>
          <w:szCs w:val="32"/>
        </w:rPr>
        <w:t>。积极践行绿色发展理念，共投入95辆纯电动新能源公交车，开通公交运营线路17条，总里长352.22公里，年运营里程291.93万公里，公交线路网络覆盖全区77个行政村（社区），群众出行便利度显著提升。</w:t>
      </w:r>
      <w:r>
        <w:rPr>
          <w:b/>
          <w:bCs/>
          <w:kern w:val="21"/>
          <w:sz w:val="32"/>
          <w:szCs w:val="32"/>
        </w:rPr>
        <w:t>差异化票价改革平稳落地</w:t>
      </w:r>
      <w:r>
        <w:rPr>
          <w:kern w:val="21"/>
          <w:sz w:val="32"/>
          <w:szCs w:val="32"/>
        </w:rPr>
        <w:t>。综合考虑公交的公益特性、运营成本、国家政策补贴和社会承受能力等因素，</w:t>
      </w:r>
      <w:r>
        <w:rPr>
          <w:rFonts w:hint="eastAsia"/>
          <w:kern w:val="21"/>
          <w:sz w:val="32"/>
          <w:szCs w:val="32"/>
        </w:rPr>
        <w:t>成功</w:t>
      </w:r>
      <w:r>
        <w:rPr>
          <w:kern w:val="21"/>
          <w:sz w:val="32"/>
          <w:szCs w:val="32"/>
        </w:rPr>
        <w:t>调整</w:t>
      </w:r>
      <w:r>
        <w:rPr>
          <w:rFonts w:hint="eastAsia"/>
          <w:kern w:val="21"/>
          <w:sz w:val="32"/>
          <w:szCs w:val="32"/>
        </w:rPr>
        <w:t>了</w:t>
      </w:r>
      <w:r>
        <w:rPr>
          <w:kern w:val="21"/>
          <w:sz w:val="32"/>
          <w:szCs w:val="32"/>
        </w:rPr>
        <w:t>跨乡镇公交车票价</w:t>
      </w:r>
      <w:r>
        <w:rPr>
          <w:rFonts w:hint="eastAsia"/>
          <w:kern w:val="21"/>
          <w:sz w:val="32"/>
          <w:szCs w:val="32"/>
        </w:rPr>
        <w:t>（含</w:t>
      </w:r>
      <w:r>
        <w:rPr>
          <w:kern w:val="21"/>
          <w:sz w:val="32"/>
          <w:szCs w:val="32"/>
        </w:rPr>
        <w:t>县际、省际公交车</w:t>
      </w:r>
      <w:r>
        <w:rPr>
          <w:rFonts w:hint="eastAsia"/>
          <w:kern w:val="21"/>
          <w:sz w:val="32"/>
          <w:szCs w:val="32"/>
        </w:rPr>
        <w:t>）</w:t>
      </w:r>
      <w:r>
        <w:rPr>
          <w:kern w:val="21"/>
          <w:sz w:val="32"/>
          <w:szCs w:val="32"/>
        </w:rPr>
        <w:t>。</w:t>
      </w:r>
      <w:r>
        <w:rPr>
          <w:rFonts w:hint="eastAsia"/>
          <w:kern w:val="21"/>
          <w:sz w:val="32"/>
          <w:szCs w:val="32"/>
        </w:rPr>
        <w:t>2025年5月1日，</w:t>
      </w:r>
      <w:r>
        <w:rPr>
          <w:kern w:val="21"/>
          <w:sz w:val="32"/>
          <w:szCs w:val="32"/>
        </w:rPr>
        <w:t>“阶梯式票价”计价方式</w:t>
      </w:r>
      <w:r>
        <w:rPr>
          <w:rFonts w:hint="eastAsia"/>
          <w:kern w:val="21"/>
          <w:sz w:val="32"/>
          <w:szCs w:val="32"/>
        </w:rPr>
        <w:t>正式实施，社会反响良好</w:t>
      </w:r>
      <w:r>
        <w:rPr>
          <w:kern w:val="21"/>
          <w:sz w:val="32"/>
          <w:szCs w:val="32"/>
        </w:rPr>
        <w:t>。</w:t>
      </w:r>
      <w:r>
        <w:rPr>
          <w:rFonts w:hint="eastAsia"/>
          <w:b/>
          <w:bCs/>
          <w:kern w:val="21"/>
          <w:sz w:val="32"/>
          <w:szCs w:val="32"/>
        </w:rPr>
        <w:t>建成农村寄递物流体系。</w:t>
      </w:r>
      <w:r>
        <w:rPr>
          <w:rFonts w:hint="eastAsia"/>
          <w:kern w:val="21"/>
          <w:sz w:val="32"/>
          <w:szCs w:val="32"/>
        </w:rPr>
        <w:t>投资7500万元，建成区寄递物流公共配送中心和洪集镇交通综合运输服务站。新建29个村级寄递物流综合服务站，实现了寄递物流村级全覆盖，有效解决了快递进村“最后一公里”问题。</w:t>
      </w:r>
    </w:p>
    <w:p>
      <w:pPr>
        <w:pStyle w:val="21"/>
        <w:spacing w:after="0" w:line="360" w:lineRule="auto"/>
        <w:ind w:left="0" w:leftChars="0" w:firstLine="643"/>
        <w:rPr>
          <w:rFonts w:eastAsia="楷体_GB2312"/>
          <w:b/>
          <w:bCs/>
          <w:kern w:val="21"/>
          <w:sz w:val="32"/>
          <w:szCs w:val="32"/>
        </w:rPr>
      </w:pPr>
      <w:r>
        <w:rPr>
          <w:rFonts w:hint="eastAsia" w:eastAsia="楷体_GB2312"/>
          <w:b/>
          <w:bCs/>
          <w:kern w:val="21"/>
          <w:sz w:val="32"/>
          <w:szCs w:val="32"/>
        </w:rPr>
        <w:t>四是省际毗邻地区发展取得突破</w:t>
      </w:r>
    </w:p>
    <w:p>
      <w:pPr>
        <w:pStyle w:val="21"/>
        <w:spacing w:after="0" w:line="360" w:lineRule="auto"/>
        <w:ind w:left="0" w:leftChars="0" w:firstLine="640"/>
        <w:rPr>
          <w:kern w:val="21"/>
          <w:sz w:val="32"/>
          <w:szCs w:val="32"/>
        </w:rPr>
      </w:pPr>
      <w:r>
        <w:rPr>
          <w:kern w:val="21"/>
          <w:sz w:val="32"/>
          <w:szCs w:val="32"/>
        </w:rPr>
        <w:t>202</w:t>
      </w:r>
      <w:r>
        <w:rPr>
          <w:rFonts w:hint="eastAsia"/>
          <w:kern w:val="21"/>
          <w:sz w:val="32"/>
          <w:szCs w:val="32"/>
        </w:rPr>
        <w:t>3</w:t>
      </w:r>
      <w:r>
        <w:rPr>
          <w:kern w:val="21"/>
          <w:sz w:val="32"/>
          <w:szCs w:val="32"/>
        </w:rPr>
        <w:t>年</w:t>
      </w:r>
      <w:r>
        <w:rPr>
          <w:rFonts w:hint="eastAsia"/>
          <w:kern w:val="21"/>
          <w:sz w:val="32"/>
          <w:szCs w:val="32"/>
        </w:rPr>
        <w:t>、2024年先后开通</w:t>
      </w:r>
      <w:r>
        <w:rPr>
          <w:kern w:val="21"/>
          <w:sz w:val="32"/>
          <w:szCs w:val="32"/>
        </w:rPr>
        <w:t>叶集至固始县</w:t>
      </w:r>
      <w:r>
        <w:rPr>
          <w:rFonts w:hint="eastAsia"/>
          <w:kern w:val="21"/>
          <w:sz w:val="32"/>
          <w:szCs w:val="32"/>
        </w:rPr>
        <w:t>陈淋子镇、</w:t>
      </w:r>
      <w:r>
        <w:rPr>
          <w:kern w:val="21"/>
          <w:sz w:val="32"/>
          <w:szCs w:val="32"/>
        </w:rPr>
        <w:t>祖师庙镇省际公交线路</w:t>
      </w:r>
      <w:r>
        <w:rPr>
          <w:rFonts w:hint="eastAsia"/>
          <w:kern w:val="21"/>
          <w:sz w:val="32"/>
          <w:szCs w:val="32"/>
        </w:rPr>
        <w:t>2</w:t>
      </w:r>
      <w:r>
        <w:rPr>
          <w:kern w:val="21"/>
          <w:sz w:val="32"/>
          <w:szCs w:val="32"/>
        </w:rPr>
        <w:t>条，日发</w:t>
      </w:r>
      <w:r>
        <w:rPr>
          <w:rFonts w:hint="eastAsia"/>
          <w:kern w:val="21"/>
          <w:sz w:val="32"/>
          <w:szCs w:val="32"/>
        </w:rPr>
        <w:t>38个</w:t>
      </w:r>
      <w:r>
        <w:rPr>
          <w:kern w:val="21"/>
          <w:sz w:val="32"/>
          <w:szCs w:val="32"/>
        </w:rPr>
        <w:t>班次，日平均客流量</w:t>
      </w:r>
      <w:r>
        <w:rPr>
          <w:rFonts w:hint="eastAsia"/>
          <w:kern w:val="21"/>
          <w:sz w:val="32"/>
          <w:szCs w:val="32"/>
        </w:rPr>
        <w:t>3</w:t>
      </w:r>
      <w:r>
        <w:rPr>
          <w:kern w:val="21"/>
          <w:sz w:val="32"/>
          <w:szCs w:val="32"/>
        </w:rPr>
        <w:t>00余人次，覆盖了史河两岸4个乡镇街27个行政村社，近51平方公里，约18万群众受益，极大地方便了两省沿线群众就医、务工、求学、购物，</w:t>
      </w:r>
      <w:r>
        <w:rPr>
          <w:rFonts w:hint="eastAsia"/>
          <w:kern w:val="21"/>
          <w:sz w:val="32"/>
          <w:szCs w:val="32"/>
        </w:rPr>
        <w:t>进一步</w:t>
      </w:r>
      <w:r>
        <w:rPr>
          <w:kern w:val="21"/>
          <w:sz w:val="32"/>
          <w:szCs w:val="32"/>
        </w:rPr>
        <w:t>增强了两地居民交流融合和经贸往来。</w:t>
      </w:r>
      <w:r>
        <w:rPr>
          <w:rFonts w:hint="eastAsia"/>
          <w:kern w:val="21"/>
          <w:sz w:val="32"/>
          <w:szCs w:val="32"/>
        </w:rPr>
        <w:t>G632史河大桥及接线工程前期工作取得实质性进展，用地预审获得两省批复，具备可研审批条件。</w:t>
      </w:r>
    </w:p>
    <w:p>
      <w:pPr>
        <w:pStyle w:val="3"/>
        <w:tabs>
          <w:tab w:val="left" w:pos="630"/>
          <w:tab w:val="clear" w:pos="0"/>
        </w:tabs>
        <w:spacing w:before="468" w:beforeLines="150" w:after="240"/>
        <w:rPr>
          <w:rFonts w:ascii="Times New Roman" w:hAnsi="Times New Roman"/>
          <w:sz w:val="32"/>
        </w:rPr>
      </w:pPr>
      <w:bookmarkStart w:id="7" w:name="_Toc9341"/>
      <w:r>
        <w:rPr>
          <w:rFonts w:hint="eastAsia" w:ascii="Times New Roman" w:hAnsi="Times New Roman"/>
          <w:sz w:val="32"/>
        </w:rPr>
        <w:t>存在问题</w:t>
      </w:r>
      <w:bookmarkEnd w:id="7"/>
    </w:p>
    <w:p>
      <w:pPr>
        <w:pStyle w:val="21"/>
        <w:spacing w:after="0" w:line="360" w:lineRule="auto"/>
        <w:ind w:left="0" w:leftChars="0" w:firstLine="643"/>
        <w:rPr>
          <w:b/>
          <w:bCs/>
          <w:kern w:val="21"/>
          <w:sz w:val="32"/>
          <w:szCs w:val="32"/>
        </w:rPr>
      </w:pPr>
      <w:r>
        <w:rPr>
          <w:rFonts w:hint="eastAsia"/>
          <w:b/>
          <w:bCs/>
          <w:kern w:val="21"/>
          <w:sz w:val="32"/>
          <w:szCs w:val="32"/>
        </w:rPr>
        <w:t>（一）高质量交通基础设施供给</w:t>
      </w:r>
      <w:r>
        <w:rPr>
          <w:b/>
          <w:bCs/>
          <w:kern w:val="21"/>
          <w:sz w:val="32"/>
          <w:szCs w:val="32"/>
        </w:rPr>
        <w:t>不足</w:t>
      </w:r>
    </w:p>
    <w:p>
      <w:pPr>
        <w:pStyle w:val="21"/>
        <w:spacing w:after="0" w:line="360" w:lineRule="auto"/>
        <w:ind w:left="0" w:leftChars="0" w:firstLine="640"/>
        <w:rPr>
          <w:kern w:val="21"/>
          <w:sz w:val="32"/>
          <w:szCs w:val="32"/>
        </w:rPr>
      </w:pPr>
      <w:r>
        <w:rPr>
          <w:rFonts w:hint="eastAsia"/>
          <w:kern w:val="21"/>
          <w:sz w:val="32"/>
          <w:szCs w:val="32"/>
        </w:rPr>
        <w:t>G40沪陕高速（大顾店至豫皖界）目前为四车道，节假日及日常高峰期交通量大，交通饱和度高，影响通行效率；G312存在瓶颈路段，现状G312下穿G42段（2.158公里）为二级路，雨雪天气成 "肠梗阻"，每年需投入大量人力物力保通，亟需进行改扩建。G312六安主城区至合肥段已经是快速路，叶集区范围内通行速度不高，民众对快速化呼声较高，需要进行快速化改造。叶集区范围内有7条省道，但是多为二级公路，部分道路无路，无法满足对外快速联系的需求。</w:t>
      </w:r>
    </w:p>
    <w:p>
      <w:pPr>
        <w:pStyle w:val="21"/>
        <w:spacing w:after="0" w:line="360" w:lineRule="auto"/>
        <w:ind w:left="0" w:leftChars="0" w:firstLine="643"/>
        <w:rPr>
          <w:b/>
          <w:bCs/>
          <w:kern w:val="21"/>
          <w:sz w:val="32"/>
          <w:szCs w:val="32"/>
        </w:rPr>
      </w:pPr>
      <w:r>
        <w:rPr>
          <w:rFonts w:hint="eastAsia"/>
          <w:b/>
          <w:bCs/>
          <w:kern w:val="21"/>
          <w:sz w:val="32"/>
          <w:szCs w:val="32"/>
        </w:rPr>
        <w:t>（二）区域协同交通发展不足，跨区域项目协调难度大</w:t>
      </w:r>
    </w:p>
    <w:p>
      <w:pPr>
        <w:pStyle w:val="16"/>
        <w:ind w:firstLine="640" w:firstLineChars="200"/>
        <w:rPr>
          <w:rFonts w:eastAsia="仿宋_GB2312"/>
          <w:kern w:val="21"/>
          <w:sz w:val="32"/>
          <w:szCs w:val="32"/>
        </w:rPr>
      </w:pPr>
      <w:r>
        <w:rPr>
          <w:rFonts w:hint="eastAsia" w:eastAsia="仿宋_GB2312"/>
          <w:kern w:val="21"/>
          <w:sz w:val="32"/>
          <w:szCs w:val="32"/>
        </w:rPr>
        <w:t>省际联通不畅，与河南固始县交通衔接不足，G632史河大桥及接线工程由安徽、河南两省省级层面审批，采用联合审批方式，虽有合作规划，但G632史河大桥等项目推进缓慢；区内 "一河两岸"联通性较差，现有连接两岸桥梁仅2处（其中高速公路桥1处），制约了叶集区城市空间拓展；G632姚李至平岗段因受条件限制，两次穿越宁西铁路线型指标差、成本高，需要穿越金寨县区域，存在一定的协调难度；G529金岳线叶集段新建工程金寨段接线没有开工建设，影响整体运营使用。S437跨省道路规划衔接标准不一，固始段规划乡道同叶集连接。</w:t>
      </w:r>
    </w:p>
    <w:p>
      <w:pPr>
        <w:pStyle w:val="21"/>
        <w:spacing w:after="0" w:line="360" w:lineRule="auto"/>
        <w:ind w:left="0" w:leftChars="0" w:firstLine="643"/>
        <w:rPr>
          <w:b/>
          <w:bCs/>
          <w:kern w:val="21"/>
          <w:sz w:val="32"/>
          <w:szCs w:val="32"/>
        </w:rPr>
      </w:pPr>
      <w:r>
        <w:rPr>
          <w:rFonts w:hint="eastAsia"/>
          <w:b/>
          <w:bCs/>
          <w:kern w:val="21"/>
          <w:sz w:val="32"/>
          <w:szCs w:val="32"/>
        </w:rPr>
        <w:t>（三）综合交通融合发展水平有待提高</w:t>
      </w:r>
    </w:p>
    <w:p>
      <w:pPr>
        <w:pStyle w:val="16"/>
        <w:ind w:firstLine="640" w:firstLineChars="200"/>
        <w:rPr>
          <w:rFonts w:eastAsia="仿宋_GB2312"/>
          <w:kern w:val="21"/>
          <w:sz w:val="32"/>
          <w:szCs w:val="32"/>
        </w:rPr>
      </w:pPr>
      <w:r>
        <w:rPr>
          <w:rFonts w:hint="eastAsia" w:eastAsia="仿宋_GB2312"/>
          <w:kern w:val="21"/>
          <w:sz w:val="32"/>
          <w:szCs w:val="32"/>
        </w:rPr>
        <w:t>目前叶集区火车站、汽车站、公交首末站分别位于不同地点，未能做到有限衔接，换乘不便，缺乏一体化客运枢纽，无法实现"零换乘"，降低了公共交通吸引力；客运服务品质不高，高品质客运服务（智慧公交、定制巴士等）供给不足，难以满足多样化出行需求。</w:t>
      </w:r>
    </w:p>
    <w:p>
      <w:pPr>
        <w:ind w:firstLine="643"/>
        <w:rPr>
          <w:b/>
          <w:bCs/>
          <w:kern w:val="21"/>
          <w:sz w:val="32"/>
          <w:szCs w:val="32"/>
        </w:rPr>
      </w:pPr>
      <w:r>
        <w:rPr>
          <w:rFonts w:hint="eastAsia"/>
          <w:b/>
          <w:bCs/>
          <w:kern w:val="21"/>
          <w:sz w:val="32"/>
          <w:szCs w:val="32"/>
        </w:rPr>
        <w:t>（四）资金、土地等保障性因素影响较大</w:t>
      </w:r>
    </w:p>
    <w:p>
      <w:pPr>
        <w:widowControl/>
        <w:ind w:firstLine="640"/>
        <w:jc w:val="left"/>
        <w:rPr>
          <w:kern w:val="21"/>
          <w:sz w:val="32"/>
          <w:szCs w:val="32"/>
        </w:rPr>
      </w:pPr>
      <w:r>
        <w:rPr>
          <w:rFonts w:hint="eastAsia"/>
          <w:kern w:val="21"/>
          <w:sz w:val="32"/>
          <w:szCs w:val="32"/>
        </w:rPr>
        <w:t>耕地占补平</w:t>
      </w:r>
      <w:r>
        <w:rPr>
          <w:kern w:val="21"/>
          <w:sz w:val="32"/>
          <w:szCs w:val="32"/>
        </w:rPr>
        <w:t>衡指标、</w:t>
      </w:r>
      <w:r>
        <w:rPr>
          <w:rFonts w:hint="eastAsia"/>
          <w:kern w:val="21"/>
          <w:sz w:val="32"/>
          <w:szCs w:val="32"/>
        </w:rPr>
        <w:t>建设用地指标</w:t>
      </w:r>
      <w:r>
        <w:rPr>
          <w:kern w:val="21"/>
          <w:sz w:val="32"/>
          <w:szCs w:val="32"/>
        </w:rPr>
        <w:t>等要素保障，与地方政府加快项目建设的要求之间仍有较大差距；交通基础建设项目造价不断上涨，建设资金筹措压力越来越大；</w:t>
      </w:r>
      <w:r>
        <w:rPr>
          <w:rFonts w:hint="eastAsia"/>
          <w:kern w:val="21"/>
          <w:sz w:val="32"/>
          <w:szCs w:val="32"/>
        </w:rPr>
        <w:t>国省干线建设补助资金少，地方配套压力大，农村公路建设资金缺口大，制约路网升级改造，养护经费不足，道路通畅水平降低。</w:t>
      </w:r>
    </w:p>
    <w:bookmarkEnd w:id="1"/>
    <w:bookmarkEnd w:id="2"/>
    <w:bookmarkEnd w:id="3"/>
    <w:bookmarkEnd w:id="4"/>
    <w:p>
      <w:pPr>
        <w:ind w:firstLine="560"/>
        <w:jc w:val="left"/>
        <w:rPr>
          <w:rFonts w:ascii="仿宋_GB2312" w:hAnsi="仿宋_GB2312" w:cs="仿宋_GB2312"/>
          <w:szCs w:val="28"/>
        </w:rPr>
      </w:pPr>
    </w:p>
    <w:p>
      <w:pPr>
        <w:ind w:firstLine="560"/>
        <w:rPr>
          <w:bCs/>
        </w:rPr>
      </w:pPr>
      <w:r>
        <w:rPr>
          <w:bCs/>
        </w:rPr>
        <w:br w:type="page"/>
      </w:r>
    </w:p>
    <w:p>
      <w:pPr>
        <w:pStyle w:val="16"/>
        <w:sectPr>
          <w:pgSz w:w="11906" w:h="16838"/>
          <w:pgMar w:top="1574" w:right="1418" w:bottom="1701" w:left="1701" w:header="851" w:footer="921" w:gutter="0"/>
          <w:cols w:space="720" w:num="1"/>
          <w:docGrid w:type="lines" w:linePitch="312" w:charSpace="0"/>
        </w:sectPr>
      </w:pPr>
    </w:p>
    <w:p>
      <w:pPr>
        <w:pStyle w:val="57"/>
        <w:numPr>
          <w:ilvl w:val="0"/>
          <w:numId w:val="1"/>
        </w:numPr>
        <w:tabs>
          <w:tab w:val="left" w:pos="462"/>
          <w:tab w:val="left" w:pos="540"/>
          <w:tab w:val="left" w:pos="966"/>
          <w:tab w:val="left" w:pos="1145"/>
          <w:tab w:val="clear" w:pos="0"/>
        </w:tabs>
        <w:snapToGrid w:val="0"/>
        <w:spacing w:before="156" w:beforeLines="50" w:after="0"/>
        <w:jc w:val="center"/>
        <w:rPr>
          <w:rFonts w:ascii="Times New Roman" w:cs="Times New Roman"/>
          <w:sz w:val="36"/>
          <w:szCs w:val="36"/>
        </w:rPr>
      </w:pPr>
      <w:bookmarkStart w:id="8" w:name="_Toc419053383"/>
      <w:bookmarkStart w:id="9" w:name="_Toc14167"/>
      <w:bookmarkStart w:id="10" w:name="_Toc7055"/>
      <w:bookmarkStart w:id="11" w:name="_Toc12066"/>
      <w:bookmarkStart w:id="12" w:name="_Toc391"/>
      <w:r>
        <w:rPr>
          <w:rFonts w:ascii="Times New Roman" w:cs="Times New Roman"/>
          <w:sz w:val="36"/>
          <w:szCs w:val="36"/>
        </w:rPr>
        <w:t>形势需求</w:t>
      </w:r>
      <w:bookmarkEnd w:id="8"/>
      <w:bookmarkEnd w:id="9"/>
      <w:bookmarkEnd w:id="10"/>
      <w:bookmarkEnd w:id="11"/>
      <w:bookmarkEnd w:id="12"/>
    </w:p>
    <w:p>
      <w:pPr>
        <w:pStyle w:val="3"/>
        <w:tabs>
          <w:tab w:val="left" w:pos="630"/>
          <w:tab w:val="clear" w:pos="0"/>
        </w:tabs>
        <w:spacing w:before="0"/>
        <w:rPr>
          <w:rFonts w:ascii="Times New Roman" w:hAnsi="Times New Roman"/>
        </w:rPr>
      </w:pPr>
      <w:bookmarkStart w:id="13" w:name="_Toc5965"/>
      <w:bookmarkStart w:id="14" w:name="_Toc27585"/>
      <w:bookmarkStart w:id="15" w:name="_Toc11089"/>
      <w:bookmarkStart w:id="16" w:name="_Toc30814"/>
      <w:r>
        <w:rPr>
          <w:rFonts w:hint="eastAsia" w:ascii="Times New Roman" w:hAnsi="Times New Roman"/>
        </w:rPr>
        <w:t>发展形势</w:t>
      </w:r>
      <w:bookmarkEnd w:id="13"/>
      <w:r>
        <w:rPr>
          <w:rFonts w:hint="eastAsia" w:ascii="Times New Roman" w:hAnsi="Times New Roman"/>
        </w:rPr>
        <w:t>研判</w:t>
      </w:r>
      <w:bookmarkEnd w:id="14"/>
      <w:bookmarkEnd w:id="15"/>
      <w:bookmarkEnd w:id="16"/>
    </w:p>
    <w:p>
      <w:pPr>
        <w:ind w:firstLine="640"/>
        <w:jc w:val="left"/>
        <w:rPr>
          <w:rFonts w:ascii="仿宋_GB2312" w:hAnsi="仿宋_GB2312" w:cs="仿宋_GB2312"/>
          <w:sz w:val="32"/>
          <w:szCs w:val="32"/>
        </w:rPr>
      </w:pPr>
      <w:bookmarkStart w:id="17" w:name="_Toc419053385"/>
      <w:r>
        <w:rPr>
          <w:rFonts w:hint="eastAsia" w:ascii="仿宋_GB2312" w:hAnsi="仿宋_GB2312" w:cs="仿宋_GB2312"/>
          <w:sz w:val="32"/>
          <w:szCs w:val="32"/>
        </w:rPr>
        <w:t>“十五五”时期</w:t>
      </w:r>
      <w:r>
        <w:rPr>
          <w:rFonts w:hint="eastAsia"/>
          <w:sz w:val="32"/>
          <w:szCs w:val="32"/>
        </w:rPr>
        <w:t>是基本实现社会主义现代化夯实基础、全面发力的关键时期，也是叶集绿色振兴、整体跃升的关键五年，需要深刻认识发展所面临的环境。我国经济基础稳、优势多、韧性强、潜能大，长期向好的支撑条件和基本趋势没有变，制度、市场、产业和人才等多重优势持续巩固，传统产业转型与新兴产业布局并行推进，扩大内需、深化改革与高水平开放政策协同发力，为叶集区融入国内大市场、对接国家区域战略、用好制度红利、增强发展动能提供了坚实支撑和广阔空间。“十五五”时期，我省需要紧扣“三地一区”战略定位和“三个新的更大进展”奋斗目标，加快培育新质生产力，由内陆腹地迈向开放前沿，在服务全国大局中展现更大作为。六安市聚焦打造六安版“三地一区”，奋力推动“增速居前列、总量上台阶”和“三个往前赶”，在区域发展格局中的地位日益提升。</w:t>
      </w:r>
    </w:p>
    <w:p>
      <w:pPr>
        <w:widowControl/>
        <w:ind w:firstLine="640"/>
        <w:jc w:val="left"/>
        <w:rPr>
          <w:kern w:val="21"/>
          <w:sz w:val="32"/>
          <w:szCs w:val="32"/>
        </w:rPr>
      </w:pPr>
      <w:r>
        <w:rPr>
          <w:rFonts w:hint="eastAsia"/>
          <w:kern w:val="21"/>
          <w:sz w:val="32"/>
          <w:szCs w:val="32"/>
        </w:rPr>
        <w:t>从六安市交通运输发展现状来看，全市综合立体交通网主骨架尚待完善。高速铁路覆盖不足，主要运输通道运能紧张，高铁网络亟待完善。全市高铁网密度不高，沿淮、大别山区高速公路网络尚待完善，水运高等级航道占比较低。现有基础设施与六安市承担的“武合宁主轴”“商阜景走廊”“合西通道”等主骨架功能和大别山区域综合交通节点尚不匹配。港口集疏运体系仍待完善，疏港公路“最后一公里”仍需加强。综合交通换乘效率偏低，运输服务、综合调度、联程联运、信息共享等水平有待提升。</w:t>
      </w:r>
    </w:p>
    <w:p>
      <w:pPr>
        <w:ind w:firstLine="640"/>
        <w:jc w:val="left"/>
        <w:rPr>
          <w:rFonts w:ascii="仿宋_GB2312" w:hAnsi="仿宋_GB2312" w:cs="仿宋_GB2312"/>
          <w:sz w:val="32"/>
          <w:szCs w:val="32"/>
        </w:rPr>
      </w:pPr>
      <w:r>
        <w:rPr>
          <w:rFonts w:hint="eastAsia" w:ascii="仿宋_GB2312" w:hAnsi="仿宋_GB2312" w:cs="仿宋_GB2312"/>
          <w:sz w:val="32"/>
          <w:szCs w:val="32"/>
        </w:rPr>
        <w:t>叶集区位优势明显，南侧为金寨县，金寨县作为大别山革命老区重要节点，“十五五”期发展势头强劲，高铁与高速建设提速，产业升级与生态文旅双轮驱动，辐射力强。目前叶集与金寨的交通联系不强，快速通道较少，公交联系不够紧密，加强叶集与金寨县的交通联系，贯通骨干路网，有利于叶集与金寨产业协同发展，共建跨区域经济产业发展链。</w:t>
      </w:r>
    </w:p>
    <w:p>
      <w:pPr>
        <w:ind w:firstLine="640"/>
        <w:jc w:val="left"/>
        <w:rPr>
          <w:rFonts w:ascii="仿宋_GB2312" w:hAnsi="仿宋_GB2312" w:cs="仿宋_GB2312"/>
          <w:sz w:val="32"/>
          <w:szCs w:val="32"/>
        </w:rPr>
      </w:pPr>
      <w:r>
        <w:rPr>
          <w:rFonts w:hint="eastAsia" w:ascii="仿宋_GB2312" w:hAnsi="仿宋_GB2312" w:cs="仿宋_GB2312"/>
          <w:sz w:val="32"/>
          <w:szCs w:val="32"/>
        </w:rPr>
        <w:t>叶集区与固始县仅一河之隔，叶集作为省际门户，是皖豫双向衔接的关键节点，固始县近年来人口与区位优势凸显，承接产业转移提速，叶集与固始共建“一河两岸”合作区，规划“一园、一城、一区”，推进G632史河大桥、省际公交等交通一体化基础设施，有利于加速实现中部首个县级跨省合作区的建成。</w:t>
      </w:r>
    </w:p>
    <w:bookmarkEnd w:id="17"/>
    <w:p>
      <w:pPr>
        <w:pStyle w:val="3"/>
        <w:tabs>
          <w:tab w:val="left" w:pos="630"/>
          <w:tab w:val="clear" w:pos="0"/>
        </w:tabs>
        <w:spacing w:before="468" w:beforeLines="150" w:after="240"/>
        <w:rPr>
          <w:rFonts w:ascii="Times New Roman" w:hAnsi="Times New Roman"/>
          <w:sz w:val="32"/>
        </w:rPr>
      </w:pPr>
      <w:bookmarkStart w:id="18" w:name="_Toc3741"/>
      <w:bookmarkStart w:id="19" w:name="_Toc31060"/>
      <w:bookmarkStart w:id="20" w:name="_Toc6743"/>
      <w:bookmarkStart w:id="21" w:name="_Toc22916"/>
      <w:bookmarkStart w:id="22" w:name="_Toc419053390"/>
      <w:r>
        <w:rPr>
          <w:rFonts w:hint="eastAsia" w:ascii="Times New Roman" w:hAnsi="Times New Roman"/>
          <w:sz w:val="32"/>
        </w:rPr>
        <w:t>交通</w:t>
      </w:r>
      <w:r>
        <w:rPr>
          <w:rFonts w:ascii="Times New Roman" w:hAnsi="Times New Roman"/>
          <w:sz w:val="32"/>
        </w:rPr>
        <w:t>需求</w:t>
      </w:r>
      <w:r>
        <w:rPr>
          <w:rFonts w:hint="eastAsia" w:ascii="Times New Roman" w:hAnsi="Times New Roman"/>
          <w:sz w:val="32"/>
        </w:rPr>
        <w:t>分析</w:t>
      </w:r>
      <w:bookmarkEnd w:id="18"/>
      <w:bookmarkEnd w:id="19"/>
      <w:bookmarkEnd w:id="20"/>
      <w:bookmarkEnd w:id="21"/>
      <w:bookmarkEnd w:id="22"/>
    </w:p>
    <w:p>
      <w:pPr>
        <w:ind w:firstLine="640"/>
        <w:rPr>
          <w:rFonts w:ascii="仿宋_GB2312" w:hAnsi="仿宋" w:cs="Arial"/>
          <w:bCs/>
          <w:sz w:val="32"/>
          <w:szCs w:val="32"/>
        </w:rPr>
      </w:pPr>
      <w:r>
        <w:rPr>
          <w:rFonts w:hint="eastAsia" w:ascii="仿宋_GB2312" w:hAnsi="仿宋" w:cs="Arial"/>
          <w:bCs/>
          <w:sz w:val="32"/>
          <w:szCs w:val="32"/>
        </w:rPr>
        <w:t>“十五五”期，交通运输发展迎来机遇与挑战并存的局面，不确定性和难预料因素有所增多。叶集区未来五年的交通需求主要体现在以下几个方面：</w:t>
      </w:r>
    </w:p>
    <w:p>
      <w:pPr>
        <w:ind w:firstLine="640"/>
        <w:rPr>
          <w:rFonts w:ascii="仿宋_GB2312" w:hAnsi="仿宋" w:cs="Arial"/>
          <w:bCs/>
          <w:sz w:val="32"/>
          <w:szCs w:val="32"/>
        </w:rPr>
      </w:pPr>
      <w:r>
        <w:rPr>
          <w:rFonts w:hint="eastAsia" w:ascii="仿宋_GB2312" w:hAnsi="仿宋" w:cs="Arial"/>
          <w:bCs/>
          <w:sz w:val="32"/>
          <w:szCs w:val="32"/>
        </w:rPr>
        <w:t>1.围绕叶集区经济社会发展需求，推进长三角交通运输和省际毗邻地区一体化发展，构建内联外畅的城乡交通运输体系。</w:t>
      </w:r>
    </w:p>
    <w:p>
      <w:pPr>
        <w:ind w:firstLine="640"/>
        <w:rPr>
          <w:rFonts w:ascii="仿宋_GB2312" w:hAnsi="仿宋" w:cs="Arial"/>
          <w:bCs/>
          <w:sz w:val="32"/>
          <w:szCs w:val="32"/>
        </w:rPr>
      </w:pPr>
      <w:r>
        <w:rPr>
          <w:rFonts w:hint="eastAsia" w:ascii="仿宋_GB2312" w:hAnsi="仿宋" w:cs="Arial"/>
          <w:bCs/>
          <w:sz w:val="32"/>
          <w:szCs w:val="32"/>
        </w:rPr>
        <w:t>2.通过高速公路加密、国省干线升级、农村公路完善及综合交通融合，构建现代化公路网络和物流运输网络。到2030年，交通基础设施网络更加完善，综合交通运输服务更加便捷高效，构建现代交通体系。</w:t>
      </w:r>
    </w:p>
    <w:p>
      <w:pPr>
        <w:ind w:firstLine="640"/>
        <w:rPr>
          <w:rFonts w:ascii="仿宋_GB2312" w:hAnsi="仿宋" w:cs="Arial"/>
          <w:bCs/>
          <w:sz w:val="32"/>
          <w:szCs w:val="32"/>
        </w:rPr>
      </w:pPr>
      <w:r>
        <w:rPr>
          <w:rFonts w:hint="eastAsia" w:ascii="仿宋_GB2312" w:hAnsi="仿宋" w:cs="Arial"/>
          <w:bCs/>
          <w:sz w:val="32"/>
          <w:szCs w:val="32"/>
        </w:rPr>
        <w:t>3.推进农村公路提档升级，推动交通联通共享、一体融合，支撑城乡区域协调发展；</w:t>
      </w:r>
    </w:p>
    <w:p>
      <w:pPr>
        <w:ind w:firstLine="640"/>
        <w:rPr>
          <w:rFonts w:ascii="仿宋_GB2312" w:hAnsi="仿宋" w:cs="Arial"/>
          <w:bCs/>
          <w:sz w:val="32"/>
          <w:szCs w:val="32"/>
        </w:rPr>
      </w:pPr>
      <w:r>
        <w:rPr>
          <w:rFonts w:hint="eastAsia" w:ascii="仿宋_GB2312" w:hAnsi="仿宋" w:cs="Arial"/>
          <w:bCs/>
          <w:sz w:val="32"/>
          <w:szCs w:val="32"/>
        </w:rPr>
        <w:t>4.构建联通金寨东站的快速交通，争取增加宁西铁路客货运班次。谋划通用机场，发展低空经济。加快补齐内河航道不畅、内河港口能力不足两大短板，与固始县谋划合作建设陈淋子港区（叶集作业区），提升水运能力。</w:t>
      </w:r>
    </w:p>
    <w:p>
      <w:pPr>
        <w:ind w:firstLine="640"/>
        <w:rPr>
          <w:rFonts w:ascii="仿宋_GB2312" w:hAnsi="仿宋" w:cs="Arial"/>
          <w:bCs/>
          <w:sz w:val="32"/>
          <w:szCs w:val="32"/>
        </w:rPr>
      </w:pPr>
      <w:r>
        <w:rPr>
          <w:rFonts w:hint="eastAsia" w:ascii="仿宋_GB2312" w:hAnsi="仿宋" w:cs="Arial"/>
          <w:bCs/>
          <w:sz w:val="32"/>
          <w:szCs w:val="32"/>
        </w:rPr>
        <w:t>5.推动交通物流降本提质增效，提升客运服务品质，打造叶集区便捷经济的运输服务网；</w:t>
      </w:r>
    </w:p>
    <w:p>
      <w:pPr>
        <w:ind w:firstLine="640"/>
        <w:rPr>
          <w:rFonts w:ascii="仿宋_GB2312" w:hAnsi="仿宋" w:cs="Arial"/>
          <w:bCs/>
          <w:sz w:val="32"/>
          <w:szCs w:val="32"/>
        </w:rPr>
      </w:pPr>
      <w:r>
        <w:rPr>
          <w:rFonts w:hint="eastAsia" w:ascii="仿宋_GB2312" w:hAnsi="仿宋" w:cs="Arial"/>
          <w:bCs/>
          <w:sz w:val="32"/>
          <w:szCs w:val="32"/>
        </w:rPr>
        <w:t>6.大力推进智慧交通、绿色交通、平安交通建设，守住底线、增强韧性，统筹交通高质量发展和高水平交通安全。</w:t>
      </w:r>
    </w:p>
    <w:p>
      <w:pPr>
        <w:ind w:firstLine="562"/>
        <w:rPr>
          <w:rFonts w:ascii="仿宋_GB2312" w:hAnsi="仿宋" w:cs="Arial"/>
          <w:b/>
          <w:szCs w:val="30"/>
        </w:rPr>
      </w:pPr>
    </w:p>
    <w:p>
      <w:pPr>
        <w:ind w:firstLine="560"/>
        <w:rPr>
          <w:rFonts w:ascii="仿宋" w:hAnsi="仿宋" w:eastAsia="仿宋"/>
        </w:rPr>
      </w:pPr>
    </w:p>
    <w:p>
      <w:pPr>
        <w:ind w:firstLine="560"/>
        <w:rPr>
          <w:rFonts w:ascii="仿宋" w:hAnsi="仿宋" w:eastAsia="仿宋"/>
        </w:rPr>
      </w:pPr>
    </w:p>
    <w:p>
      <w:pPr>
        <w:ind w:firstLine="560"/>
      </w:pPr>
      <w:r>
        <w:br w:type="page"/>
      </w:r>
    </w:p>
    <w:p>
      <w:pPr>
        <w:pStyle w:val="57"/>
        <w:numPr>
          <w:ilvl w:val="0"/>
          <w:numId w:val="1"/>
        </w:numPr>
        <w:tabs>
          <w:tab w:val="left" w:pos="462"/>
          <w:tab w:val="left" w:pos="540"/>
          <w:tab w:val="left" w:pos="966"/>
          <w:tab w:val="left" w:pos="1145"/>
          <w:tab w:val="clear" w:pos="0"/>
        </w:tabs>
        <w:snapToGrid w:val="0"/>
        <w:spacing w:before="156" w:beforeLines="50" w:after="0"/>
        <w:jc w:val="center"/>
        <w:rPr>
          <w:rFonts w:ascii="Times New Roman" w:cs="Times New Roman"/>
          <w:sz w:val="36"/>
          <w:szCs w:val="36"/>
        </w:rPr>
      </w:pPr>
      <w:bookmarkStart w:id="23" w:name="_Toc11556"/>
      <w:bookmarkStart w:id="24" w:name="_Toc419053393"/>
      <w:bookmarkStart w:id="25" w:name="_Toc30716"/>
      <w:bookmarkStart w:id="26" w:name="_Toc14808"/>
      <w:bookmarkStart w:id="27" w:name="_Toc6303"/>
      <w:r>
        <w:rPr>
          <w:rFonts w:hint="eastAsia" w:ascii="Times New Roman" w:cs="Times New Roman"/>
          <w:sz w:val="36"/>
          <w:szCs w:val="36"/>
        </w:rPr>
        <w:t>思路</w:t>
      </w:r>
      <w:r>
        <w:rPr>
          <w:rFonts w:ascii="Times New Roman" w:cs="Times New Roman"/>
          <w:sz w:val="36"/>
          <w:szCs w:val="36"/>
        </w:rPr>
        <w:t>目标</w:t>
      </w:r>
      <w:bookmarkEnd w:id="23"/>
      <w:bookmarkEnd w:id="24"/>
      <w:bookmarkEnd w:id="25"/>
      <w:bookmarkEnd w:id="26"/>
      <w:bookmarkEnd w:id="27"/>
    </w:p>
    <w:p>
      <w:pPr>
        <w:pStyle w:val="3"/>
        <w:tabs>
          <w:tab w:val="left" w:pos="630"/>
          <w:tab w:val="clear" w:pos="0"/>
        </w:tabs>
        <w:spacing w:before="468" w:beforeLines="150" w:after="240"/>
        <w:rPr>
          <w:rFonts w:ascii="Times New Roman" w:hAnsi="Times New Roman"/>
          <w:sz w:val="32"/>
        </w:rPr>
      </w:pPr>
      <w:bookmarkStart w:id="28" w:name="_Toc22480"/>
      <w:bookmarkStart w:id="29" w:name="_Toc19404"/>
      <w:bookmarkStart w:id="30" w:name="_Toc419053394"/>
      <w:bookmarkStart w:id="31" w:name="_Toc27795"/>
      <w:bookmarkStart w:id="32" w:name="_Toc6961"/>
      <w:r>
        <w:rPr>
          <w:rFonts w:ascii="Times New Roman" w:hAnsi="Times New Roman"/>
          <w:sz w:val="32"/>
        </w:rPr>
        <w:t>指导思想</w:t>
      </w:r>
      <w:bookmarkEnd w:id="28"/>
      <w:bookmarkEnd w:id="29"/>
      <w:bookmarkEnd w:id="30"/>
      <w:bookmarkEnd w:id="31"/>
      <w:bookmarkEnd w:id="32"/>
    </w:p>
    <w:p>
      <w:pPr>
        <w:spacing w:line="240" w:lineRule="auto"/>
        <w:ind w:firstLine="640"/>
        <w:rPr>
          <w:rFonts w:ascii="仿宋" w:hAnsi="仿宋" w:eastAsia="仿宋"/>
        </w:rPr>
      </w:pPr>
      <w:r>
        <w:rPr>
          <w:rFonts w:hint="eastAsia"/>
          <w:sz w:val="32"/>
          <w:szCs w:val="32"/>
        </w:rPr>
        <w:t>全面贯彻习近平新时代中国特色社会主义思想，深入贯彻落实党的二十大和二十届历次全会精神和习近平总书记关于安徽工作的重要讲话指示批示精神，落实省委、市委部署要求，发挥多重国家发展战略叠加优势，抢抓新一轮科技革命和产业变革的战略机遇，以满足人民日益增长的美好生活需要为根本目的，完整准确全面贯彻新发展理念，坚持稳中求进工作总基调，以高质量发展为主题，以发展新质生产力为主线，以改革创新、开放合作为根本动力，坚持生态优先、创新驱动、开放协同、民生为本，加快构建现代化产业体系。锚定叶集版“三地一区”发展定位，充分发挥多重国家发展战略叠加优势，坚持以推动高质量发展为主题，围绕加快构建现代化综合交通运输体系，以改革创新为根本动力，推动基础设施强网补链、运输服务降本增效、综合交通统筹融合、行业发展转型升级、交通安全治本攻坚、行业治理深化改革，加快交通强市建设进程，推动叶集交通运输向更高质量、更高水平、更高层次发展，建成皖豫边界中部崛起示范区，为奋力谱写中国式现代化叶集篇章当好开路先锋。</w:t>
      </w:r>
    </w:p>
    <w:p>
      <w:pPr>
        <w:spacing w:line="240" w:lineRule="auto"/>
        <w:ind w:firstLine="560"/>
        <w:rPr>
          <w:rFonts w:ascii="仿宋" w:hAnsi="仿宋" w:eastAsia="仿宋"/>
        </w:rPr>
      </w:pPr>
    </w:p>
    <w:p>
      <w:pPr>
        <w:pStyle w:val="3"/>
        <w:tabs>
          <w:tab w:val="left" w:pos="630"/>
          <w:tab w:val="clear" w:pos="0"/>
        </w:tabs>
        <w:spacing w:before="468" w:beforeLines="150" w:after="240"/>
        <w:rPr>
          <w:rFonts w:ascii="Times New Roman" w:hAnsi="Times New Roman"/>
          <w:sz w:val="32"/>
        </w:rPr>
      </w:pPr>
      <w:bookmarkStart w:id="33" w:name="_Toc419053395"/>
      <w:bookmarkStart w:id="34" w:name="_Toc17726"/>
      <w:bookmarkStart w:id="35" w:name="_Toc28023"/>
      <w:bookmarkStart w:id="36" w:name="_Toc721"/>
      <w:bookmarkStart w:id="37" w:name="_Toc12733"/>
      <w:r>
        <w:rPr>
          <w:rFonts w:ascii="Times New Roman" w:hAnsi="Times New Roman"/>
          <w:sz w:val="32"/>
        </w:rPr>
        <w:t>基本原则</w:t>
      </w:r>
      <w:bookmarkEnd w:id="33"/>
      <w:bookmarkEnd w:id="34"/>
      <w:bookmarkEnd w:id="35"/>
      <w:bookmarkEnd w:id="36"/>
      <w:bookmarkEnd w:id="37"/>
    </w:p>
    <w:p>
      <w:pPr>
        <w:pStyle w:val="101"/>
        <w:numPr>
          <w:ilvl w:val="0"/>
          <w:numId w:val="3"/>
        </w:numPr>
        <w:ind w:left="0" w:firstLine="643"/>
        <w:rPr>
          <w:rFonts w:ascii="仿宋" w:hAnsi="仿宋" w:eastAsia="仿宋"/>
          <w:b/>
          <w:bCs/>
          <w:sz w:val="32"/>
          <w:szCs w:val="32"/>
        </w:rPr>
      </w:pPr>
      <w:bookmarkStart w:id="38" w:name="_Toc419053396"/>
      <w:r>
        <w:rPr>
          <w:rFonts w:hint="eastAsia" w:ascii="仿宋" w:hAnsi="仿宋" w:eastAsia="仿宋"/>
          <w:b/>
          <w:bCs/>
          <w:sz w:val="32"/>
          <w:szCs w:val="32"/>
        </w:rPr>
        <w:t>交通引领，适度超前</w:t>
      </w:r>
    </w:p>
    <w:p>
      <w:pPr>
        <w:ind w:firstLine="560" w:firstLineChars="0"/>
        <w:rPr>
          <w:rFonts w:ascii="仿宋" w:hAnsi="仿宋" w:eastAsia="仿宋"/>
          <w:sz w:val="32"/>
          <w:szCs w:val="32"/>
        </w:rPr>
      </w:pPr>
      <w:r>
        <w:rPr>
          <w:rFonts w:hint="eastAsia" w:ascii="仿宋" w:hAnsi="仿宋" w:eastAsia="仿宋"/>
          <w:sz w:val="32"/>
          <w:szCs w:val="32"/>
        </w:rPr>
        <w:t>提升交通运输对经济社会发展的基础保障和先行引导作用。坚持交通优先，围绕国家战略举措，努力实现基础设施能力适度超前配置，推进综合交通运输体系建设。</w:t>
      </w:r>
    </w:p>
    <w:p>
      <w:pPr>
        <w:pStyle w:val="101"/>
        <w:numPr>
          <w:ilvl w:val="0"/>
          <w:numId w:val="3"/>
        </w:numPr>
        <w:ind w:left="0" w:firstLine="643"/>
        <w:rPr>
          <w:rFonts w:ascii="仿宋" w:hAnsi="仿宋" w:eastAsia="仿宋"/>
          <w:b/>
          <w:bCs/>
          <w:sz w:val="32"/>
          <w:szCs w:val="32"/>
        </w:rPr>
      </w:pPr>
      <w:r>
        <w:rPr>
          <w:rFonts w:hint="eastAsia" w:ascii="仿宋" w:hAnsi="仿宋" w:eastAsia="仿宋"/>
          <w:b/>
          <w:bCs/>
          <w:sz w:val="32"/>
          <w:szCs w:val="32"/>
        </w:rPr>
        <w:t>提质增效，优化提升</w:t>
      </w:r>
    </w:p>
    <w:p>
      <w:pPr>
        <w:ind w:firstLine="560" w:firstLineChars="0"/>
        <w:rPr>
          <w:rFonts w:ascii="仿宋" w:hAnsi="仿宋" w:eastAsia="仿宋"/>
          <w:sz w:val="32"/>
          <w:szCs w:val="32"/>
        </w:rPr>
      </w:pPr>
      <w:r>
        <w:rPr>
          <w:rFonts w:hint="eastAsia" w:ascii="仿宋" w:hAnsi="仿宋" w:eastAsia="仿宋"/>
          <w:sz w:val="32"/>
          <w:szCs w:val="32"/>
        </w:rPr>
        <w:t>处理好发展的速度、质量和效益的关系，着力补齐短板，提升存量、优化增量，实现行业的转型升级发展，持续优化运输结构，提升功能，不断提升服务水平。</w:t>
      </w:r>
    </w:p>
    <w:p>
      <w:pPr>
        <w:pStyle w:val="101"/>
        <w:numPr>
          <w:ilvl w:val="0"/>
          <w:numId w:val="3"/>
        </w:numPr>
        <w:ind w:left="0" w:firstLine="643"/>
        <w:rPr>
          <w:rFonts w:ascii="仿宋" w:hAnsi="仿宋" w:eastAsia="仿宋"/>
          <w:b/>
          <w:bCs/>
          <w:sz w:val="32"/>
          <w:szCs w:val="32"/>
        </w:rPr>
      </w:pPr>
      <w:r>
        <w:rPr>
          <w:rFonts w:hint="eastAsia" w:ascii="仿宋" w:hAnsi="仿宋" w:eastAsia="仿宋"/>
          <w:b/>
          <w:bCs/>
          <w:sz w:val="32"/>
          <w:szCs w:val="32"/>
        </w:rPr>
        <w:t>统筹兼顾，多式协同</w:t>
      </w:r>
    </w:p>
    <w:p>
      <w:pPr>
        <w:ind w:firstLine="560" w:firstLineChars="0"/>
        <w:rPr>
          <w:rFonts w:ascii="仿宋" w:hAnsi="仿宋" w:eastAsia="仿宋"/>
          <w:sz w:val="32"/>
          <w:szCs w:val="32"/>
        </w:rPr>
      </w:pPr>
      <w:r>
        <w:rPr>
          <w:rFonts w:hint="eastAsia" w:ascii="仿宋" w:hAnsi="仿宋" w:eastAsia="仿宋"/>
          <w:sz w:val="32"/>
          <w:szCs w:val="32"/>
        </w:rPr>
        <w:t>充分发挥各种运输方式的比较优势和组合效率，提升网络效应和规模效益。实现各种运输方式无缝对接，切实提升综合交通发展水平。</w:t>
      </w:r>
    </w:p>
    <w:p>
      <w:pPr>
        <w:pStyle w:val="101"/>
        <w:numPr>
          <w:ilvl w:val="0"/>
          <w:numId w:val="3"/>
        </w:numPr>
        <w:ind w:left="0" w:firstLine="643"/>
        <w:rPr>
          <w:rFonts w:ascii="仿宋" w:hAnsi="仿宋" w:eastAsia="仿宋"/>
          <w:b/>
          <w:bCs/>
          <w:sz w:val="32"/>
          <w:szCs w:val="32"/>
        </w:rPr>
      </w:pPr>
      <w:r>
        <w:rPr>
          <w:rFonts w:hint="eastAsia" w:ascii="仿宋" w:hAnsi="仿宋" w:eastAsia="仿宋"/>
          <w:b/>
          <w:bCs/>
          <w:sz w:val="32"/>
          <w:szCs w:val="32"/>
        </w:rPr>
        <w:t>低碳环保，绿色发展</w:t>
      </w:r>
    </w:p>
    <w:p>
      <w:pPr>
        <w:ind w:firstLine="560" w:firstLineChars="0"/>
        <w:rPr>
          <w:rFonts w:ascii="仿宋" w:hAnsi="仿宋" w:eastAsia="仿宋"/>
          <w:sz w:val="32"/>
          <w:szCs w:val="32"/>
        </w:rPr>
      </w:pPr>
      <w:r>
        <w:rPr>
          <w:rFonts w:hint="eastAsia" w:ascii="仿宋" w:hAnsi="仿宋" w:eastAsia="仿宋"/>
          <w:sz w:val="32"/>
          <w:szCs w:val="32"/>
        </w:rPr>
        <w:t>加快推进绿色循环低碳交通基础设施建设，强化节能减排、环境保护和资源节约集约利用，加快建成资源节约型、环境友好型交通运输行业。</w:t>
      </w:r>
    </w:p>
    <w:p>
      <w:pPr>
        <w:pStyle w:val="101"/>
        <w:numPr>
          <w:ilvl w:val="0"/>
          <w:numId w:val="3"/>
        </w:numPr>
        <w:ind w:left="0" w:firstLine="643"/>
        <w:rPr>
          <w:rFonts w:ascii="仿宋" w:hAnsi="仿宋" w:eastAsia="仿宋"/>
          <w:b/>
          <w:bCs/>
          <w:sz w:val="32"/>
          <w:szCs w:val="32"/>
        </w:rPr>
      </w:pPr>
      <w:r>
        <w:rPr>
          <w:rFonts w:hint="eastAsia" w:ascii="仿宋" w:hAnsi="仿宋" w:eastAsia="仿宋"/>
          <w:b/>
          <w:bCs/>
          <w:sz w:val="32"/>
          <w:szCs w:val="32"/>
        </w:rPr>
        <w:t>以人为本，安全第一</w:t>
      </w:r>
    </w:p>
    <w:p>
      <w:pPr>
        <w:ind w:firstLine="640"/>
        <w:rPr>
          <w:rFonts w:ascii="仿宋" w:hAnsi="仿宋" w:eastAsia="仿宋"/>
          <w:sz w:val="32"/>
          <w:szCs w:val="32"/>
        </w:rPr>
      </w:pPr>
      <w:r>
        <w:rPr>
          <w:rFonts w:hint="eastAsia" w:ascii="仿宋" w:hAnsi="仿宋" w:eastAsia="仿宋"/>
          <w:sz w:val="32"/>
          <w:szCs w:val="32"/>
        </w:rPr>
        <w:t>贯彻落实“以人为本”的思想，推进交通运输基本公共服务均等化，着力提升交通运输服务品质，努力提高交通运输的安全性、可靠性和应对自然灾害、突发事件的能力。</w:t>
      </w:r>
    </w:p>
    <w:p>
      <w:pPr>
        <w:pStyle w:val="101"/>
        <w:numPr>
          <w:ilvl w:val="0"/>
          <w:numId w:val="3"/>
        </w:numPr>
        <w:ind w:left="0" w:firstLine="643"/>
        <w:rPr>
          <w:rFonts w:ascii="仿宋" w:hAnsi="仿宋" w:eastAsia="仿宋"/>
          <w:b/>
          <w:bCs/>
          <w:sz w:val="32"/>
          <w:szCs w:val="32"/>
        </w:rPr>
      </w:pPr>
      <w:r>
        <w:rPr>
          <w:rFonts w:hint="eastAsia" w:ascii="仿宋" w:hAnsi="仿宋" w:eastAsia="仿宋"/>
          <w:b/>
          <w:bCs/>
          <w:sz w:val="32"/>
          <w:szCs w:val="32"/>
        </w:rPr>
        <w:t>科技引领、智慧创新</w:t>
      </w:r>
    </w:p>
    <w:p>
      <w:pPr>
        <w:ind w:firstLine="640"/>
        <w:rPr>
          <w:rFonts w:ascii="仿宋_GB2312" w:hAnsi="宋体"/>
          <w:sz w:val="32"/>
          <w:szCs w:val="32"/>
        </w:rPr>
      </w:pPr>
      <w:r>
        <w:rPr>
          <w:rFonts w:hint="eastAsia" w:ascii="仿宋" w:hAnsi="仿宋" w:eastAsia="仿宋"/>
          <w:sz w:val="32"/>
          <w:szCs w:val="32"/>
        </w:rPr>
        <w:t>以信息化引领交通运输现代化。全面深化交通运输改革，着力消除体制机制障碍，切实发挥市场对资源配置的决定性作用和更好发挥政府作用。</w:t>
      </w:r>
    </w:p>
    <w:bookmarkEnd w:id="38"/>
    <w:p>
      <w:pPr>
        <w:pStyle w:val="3"/>
        <w:tabs>
          <w:tab w:val="left" w:pos="630"/>
          <w:tab w:val="clear" w:pos="0"/>
        </w:tabs>
        <w:spacing w:before="468" w:beforeLines="150" w:after="240"/>
        <w:rPr>
          <w:rFonts w:ascii="Times New Roman" w:hAnsi="Times New Roman"/>
          <w:sz w:val="32"/>
        </w:rPr>
      </w:pPr>
      <w:bookmarkStart w:id="39" w:name="_Toc29291"/>
      <w:bookmarkStart w:id="40" w:name="_Toc10329"/>
      <w:bookmarkStart w:id="41" w:name="_Toc6751"/>
      <w:r>
        <w:rPr>
          <w:rFonts w:hint="eastAsia" w:ascii="Times New Roman" w:hAnsi="Times New Roman"/>
          <w:sz w:val="32"/>
        </w:rPr>
        <w:t>发展目标</w:t>
      </w:r>
      <w:bookmarkEnd w:id="39"/>
      <w:bookmarkEnd w:id="40"/>
      <w:bookmarkEnd w:id="41"/>
    </w:p>
    <w:p>
      <w:pPr>
        <w:widowControl/>
        <w:ind w:firstLine="640"/>
        <w:jc w:val="left"/>
        <w:rPr>
          <w:sz w:val="32"/>
          <w:szCs w:val="32"/>
        </w:rPr>
      </w:pPr>
      <w:r>
        <w:rPr>
          <w:rFonts w:hint="eastAsia"/>
          <w:sz w:val="32"/>
          <w:szCs w:val="32"/>
        </w:rPr>
        <w:t>到2030年，基本建成安全便捷、高效普惠、绿色经济、包容韧性的现代综合交通运输体系，交通运输高质量发展取得实质性突破，基础设施网络布局不断优化，运输服务能力全面提升，融合发展取得新突破，智慧绿色转型成效显著，安全保障能力显著提升，行业治理水平明显提高，叶集版“三地一区”发展能级全面提升，提升区域交通地位，服务皖豫边界中部崛起示范区建设的能力显著增强。“十五五”末期，叶集区综合交通将初步形成“4511”四纵五横双循环格局。</w:t>
      </w:r>
    </w:p>
    <w:p>
      <w:pPr>
        <w:spacing w:line="240" w:lineRule="auto"/>
        <w:ind w:firstLine="643"/>
        <w:rPr>
          <w:rFonts w:ascii="仿宋_GB2312" w:hAnsi="仿宋_GB2312" w:cs="仿宋_GB2312"/>
          <w:b/>
          <w:bCs/>
          <w:sz w:val="32"/>
          <w:szCs w:val="32"/>
        </w:rPr>
      </w:pPr>
      <w:r>
        <w:rPr>
          <w:rFonts w:hint="eastAsia" w:ascii="仿宋_GB2312" w:hAnsi="仿宋_GB2312" w:cs="仿宋_GB2312"/>
          <w:b/>
          <w:bCs/>
          <w:sz w:val="32"/>
          <w:szCs w:val="32"/>
        </w:rPr>
        <w:t>——基础设施网络更加开放畅达</w:t>
      </w:r>
    </w:p>
    <w:p>
      <w:pPr>
        <w:spacing w:line="240" w:lineRule="auto"/>
        <w:ind w:firstLine="643"/>
        <w:rPr>
          <w:rFonts w:ascii="仿宋_GB2312" w:hAnsi="仿宋_GB2312" w:cs="仿宋_GB2312"/>
          <w:b/>
          <w:bCs/>
          <w:sz w:val="32"/>
          <w:szCs w:val="32"/>
        </w:rPr>
      </w:pPr>
      <w:r>
        <w:rPr>
          <w:rFonts w:hint="eastAsia" w:ascii="仿宋_GB2312" w:hAnsi="仿宋_GB2312" w:cs="仿宋_GB2312"/>
          <w:b/>
          <w:bCs/>
          <w:sz w:val="32"/>
          <w:szCs w:val="32"/>
        </w:rPr>
        <w:t>水运、航空全面发力，</w:t>
      </w:r>
      <w:r>
        <w:rPr>
          <w:rFonts w:hint="eastAsia"/>
          <w:sz w:val="32"/>
          <w:szCs w:val="32"/>
        </w:rPr>
        <w:t>稳步推进叶集通用机场规划和前期工作，强化省际毗邻地区和金叶一体化发展，配合固始县推进史河航道建设，在运输服务上强化多式联运衔接，全面提升交通行业发展的质量与效率。</w:t>
      </w:r>
    </w:p>
    <w:p>
      <w:pPr>
        <w:spacing w:line="240" w:lineRule="auto"/>
        <w:ind w:firstLine="643"/>
        <w:rPr>
          <w:sz w:val="32"/>
          <w:szCs w:val="32"/>
        </w:rPr>
      </w:pPr>
      <w:r>
        <w:rPr>
          <w:rFonts w:hint="eastAsia" w:ascii="仿宋_GB2312" w:hAnsi="仿宋_GB2312" w:cs="仿宋_GB2312"/>
          <w:b/>
          <w:bCs/>
          <w:sz w:val="32"/>
          <w:szCs w:val="32"/>
        </w:rPr>
        <w:t>构建高效便捷的公路网，</w:t>
      </w:r>
      <w:r>
        <w:rPr>
          <w:rFonts w:hint="eastAsia"/>
          <w:sz w:val="32"/>
          <w:szCs w:val="32"/>
        </w:rPr>
        <w:t>高速公路网密度达到8.8公里/百平方公里；普通国省道二级及以上公路比例超88%，超全市平均水平；农村公路技术等级和服务能力进一步提升，具备条件的建制村全部实现通双车道公路。</w:t>
      </w:r>
    </w:p>
    <w:p>
      <w:pPr>
        <w:widowControl/>
        <w:ind w:firstLine="643"/>
        <w:jc w:val="left"/>
        <w:rPr>
          <w:sz w:val="32"/>
          <w:szCs w:val="32"/>
        </w:rPr>
      </w:pPr>
      <w:r>
        <w:rPr>
          <w:rFonts w:eastAsia="宋体"/>
          <w:b/>
          <w:bCs/>
          <w:kern w:val="0"/>
          <w:sz w:val="32"/>
          <w:szCs w:val="32"/>
          <w:lang w:bidi="ar"/>
        </w:rPr>
        <w:t>——</w:t>
      </w:r>
      <w:r>
        <w:rPr>
          <w:rFonts w:ascii="仿宋_GB2312" w:hAnsi="仿宋_GB2312" w:cs="仿宋_GB2312"/>
          <w:b/>
          <w:bCs/>
          <w:kern w:val="0"/>
          <w:sz w:val="32"/>
          <w:szCs w:val="32"/>
          <w:lang w:bidi="ar"/>
        </w:rPr>
        <w:t>运输服务</w:t>
      </w:r>
      <w:r>
        <w:rPr>
          <w:rFonts w:hint="eastAsia" w:ascii="仿宋_GB2312" w:hAnsi="仿宋_GB2312" w:cs="仿宋_GB2312"/>
          <w:b/>
          <w:bCs/>
          <w:kern w:val="0"/>
          <w:sz w:val="32"/>
          <w:szCs w:val="32"/>
          <w:lang w:bidi="ar"/>
        </w:rPr>
        <w:t>体系更加经济便捷</w:t>
      </w:r>
    </w:p>
    <w:p>
      <w:pPr>
        <w:widowControl/>
        <w:ind w:firstLine="643"/>
        <w:jc w:val="left"/>
        <w:rPr>
          <w:rFonts w:ascii="仿宋_GB2312" w:hAnsi="仿宋_GB2312" w:cs="仿宋_GB2312"/>
          <w:kern w:val="0"/>
          <w:sz w:val="32"/>
          <w:szCs w:val="32"/>
          <w:lang w:bidi="ar"/>
        </w:rPr>
      </w:pPr>
      <w:r>
        <w:rPr>
          <w:rFonts w:ascii="仿宋_GB2312" w:hAnsi="仿宋_GB2312" w:cs="仿宋_GB2312"/>
          <w:b/>
          <w:bCs/>
          <w:kern w:val="0"/>
          <w:sz w:val="32"/>
          <w:szCs w:val="32"/>
          <w:lang w:bidi="ar"/>
        </w:rPr>
        <w:t>客运出行更加便捷优质。</w:t>
      </w:r>
      <w:r>
        <w:rPr>
          <w:rFonts w:ascii="仿宋_GB2312" w:hAnsi="仿宋_GB2312" w:cs="仿宋_GB2312"/>
          <w:kern w:val="0"/>
          <w:sz w:val="32"/>
          <w:szCs w:val="32"/>
          <w:lang w:bidi="ar"/>
        </w:rPr>
        <w:t>综合客运</w:t>
      </w:r>
      <w:r>
        <w:rPr>
          <w:rFonts w:hint="eastAsia" w:ascii="仿宋_GB2312" w:hAnsi="仿宋_GB2312" w:cs="仿宋_GB2312"/>
          <w:kern w:val="0"/>
          <w:sz w:val="32"/>
          <w:szCs w:val="32"/>
          <w:lang w:bidi="ar"/>
        </w:rPr>
        <w:t>节点</w:t>
      </w:r>
      <w:r>
        <w:rPr>
          <w:rFonts w:ascii="仿宋_GB2312" w:hAnsi="仿宋_GB2312" w:cs="仿宋_GB2312"/>
          <w:kern w:val="0"/>
          <w:sz w:val="32"/>
          <w:szCs w:val="32"/>
          <w:lang w:bidi="ar"/>
        </w:rPr>
        <w:t>换乘更加便捷，跨区域出行更加便利，道路班线定制化率</w:t>
      </w:r>
      <w:r>
        <w:rPr>
          <w:rFonts w:hint="eastAsia" w:ascii="仿宋_GB2312" w:hAnsi="仿宋_GB2312" w:cs="仿宋_GB2312"/>
          <w:kern w:val="0"/>
          <w:sz w:val="32"/>
          <w:szCs w:val="32"/>
          <w:lang w:bidi="ar"/>
        </w:rPr>
        <w:t>进一步提高</w:t>
      </w:r>
      <w:r>
        <w:rPr>
          <w:rFonts w:ascii="仿宋_GB2312" w:hAnsi="仿宋_GB2312" w:cs="仿宋_GB2312"/>
          <w:kern w:val="0"/>
          <w:sz w:val="32"/>
          <w:szCs w:val="32"/>
          <w:lang w:bidi="ar"/>
        </w:rPr>
        <w:t>。城市客运服务的可靠性和吸引力显著增强，城乡客运一体化、均等化发展水平进一步提高。定制出行、共享出行等客运新业态发展取得明显成效。</w:t>
      </w:r>
    </w:p>
    <w:p>
      <w:pPr>
        <w:widowControl/>
        <w:ind w:firstLine="643"/>
        <w:jc w:val="left"/>
        <w:rPr>
          <w:sz w:val="32"/>
          <w:szCs w:val="32"/>
        </w:rPr>
      </w:pPr>
      <w:r>
        <w:rPr>
          <w:rFonts w:ascii="仿宋_GB2312" w:hAnsi="仿宋_GB2312" w:cs="仿宋_GB2312"/>
          <w:b/>
          <w:bCs/>
          <w:kern w:val="0"/>
          <w:sz w:val="32"/>
          <w:szCs w:val="32"/>
          <w:lang w:bidi="ar"/>
        </w:rPr>
        <w:t>交通物流更加经济高效。</w:t>
      </w:r>
      <w:r>
        <w:rPr>
          <w:rFonts w:ascii="仿宋_GB2312" w:hAnsi="仿宋_GB2312" w:cs="仿宋_GB2312"/>
          <w:kern w:val="0"/>
          <w:sz w:val="32"/>
          <w:szCs w:val="32"/>
          <w:lang w:bidi="ar"/>
        </w:rPr>
        <w:t>区域协同、城乡协调、连通高效的交通物流网络基本形成。运输装备清洁能源化水平迈上新台阶，交通运输绿色低碳转型和物流降本增效发展成效显著。运输结构调整取得新进展，全社会物流总费用占GDP比例稳步下降，运输综合效率和成本优势显著。网络货运、低空物流等新业态成效显著。</w:t>
      </w:r>
    </w:p>
    <w:p>
      <w:pPr>
        <w:widowControl/>
        <w:ind w:firstLine="643"/>
        <w:jc w:val="left"/>
        <w:rPr>
          <w:sz w:val="32"/>
          <w:szCs w:val="32"/>
        </w:rPr>
      </w:pPr>
      <w:r>
        <w:rPr>
          <w:rFonts w:ascii="仿宋_GB2312" w:hAnsi="仿宋_GB2312" w:cs="仿宋_GB2312"/>
          <w:b/>
          <w:bCs/>
          <w:kern w:val="0"/>
          <w:sz w:val="32"/>
          <w:szCs w:val="32"/>
          <w:lang w:bidi="ar"/>
        </w:rPr>
        <w:t xml:space="preserve">——智慧绿色转型成效显著 </w:t>
      </w:r>
    </w:p>
    <w:p>
      <w:pPr>
        <w:widowControl/>
        <w:ind w:firstLine="643"/>
        <w:jc w:val="left"/>
        <w:rPr>
          <w:sz w:val="32"/>
          <w:szCs w:val="32"/>
        </w:rPr>
      </w:pPr>
      <w:r>
        <w:rPr>
          <w:rFonts w:ascii="仿宋_GB2312" w:hAnsi="仿宋_GB2312" w:cs="仿宋_GB2312"/>
          <w:b/>
          <w:bCs/>
          <w:kern w:val="0"/>
          <w:sz w:val="32"/>
          <w:szCs w:val="32"/>
          <w:lang w:bidi="ar"/>
        </w:rPr>
        <w:t>智慧创新能力显著提升，</w:t>
      </w:r>
      <w:r>
        <w:rPr>
          <w:rFonts w:ascii="仿宋_GB2312" w:hAnsi="仿宋_GB2312" w:cs="仿宋_GB2312"/>
          <w:kern w:val="0"/>
          <w:sz w:val="32"/>
          <w:szCs w:val="32"/>
          <w:lang w:bidi="ar"/>
        </w:rPr>
        <w:t>基本完成交通运输行业各领域数字化、信息化整合，人工智能、大数据等新一代信息技术加快应用，重点领域创新应用场景有序落地。</w:t>
      </w:r>
      <w:r>
        <w:rPr>
          <w:rFonts w:ascii="仿宋_GB2312" w:hAnsi="仿宋_GB2312" w:cs="仿宋_GB2312"/>
          <w:b/>
          <w:bCs/>
          <w:kern w:val="0"/>
          <w:sz w:val="32"/>
          <w:szCs w:val="32"/>
          <w:lang w:bidi="ar"/>
        </w:rPr>
        <w:t>绿色低碳转型取得显著成效，</w:t>
      </w:r>
      <w:r>
        <w:rPr>
          <w:rFonts w:ascii="仿宋_GB2312" w:hAnsi="仿宋_GB2312" w:cs="仿宋_GB2312"/>
          <w:kern w:val="0"/>
          <w:sz w:val="32"/>
          <w:szCs w:val="32"/>
          <w:lang w:bidi="ar"/>
        </w:rPr>
        <w:t xml:space="preserve">绿色交通运输体系基本形成，绿色交通基础设施加快建设，以清洁低碳能源消耗为主的交通用能体系初步形成，交通运输装备工具低碳转型深入实施，重点领域污染防治能力显著提升。 </w:t>
      </w:r>
    </w:p>
    <w:p>
      <w:pPr>
        <w:widowControl/>
        <w:ind w:firstLine="643"/>
        <w:jc w:val="left"/>
        <w:rPr>
          <w:sz w:val="32"/>
          <w:szCs w:val="32"/>
        </w:rPr>
      </w:pPr>
      <w:r>
        <w:rPr>
          <w:rFonts w:eastAsia="宋体"/>
          <w:b/>
          <w:bCs/>
          <w:kern w:val="0"/>
          <w:sz w:val="32"/>
          <w:szCs w:val="32"/>
          <w:lang w:bidi="ar"/>
        </w:rPr>
        <w:t>——</w:t>
      </w:r>
      <w:r>
        <w:rPr>
          <w:rFonts w:ascii="仿宋_GB2312" w:hAnsi="仿宋_GB2312" w:cs="仿宋_GB2312"/>
          <w:b/>
          <w:bCs/>
          <w:kern w:val="0"/>
          <w:sz w:val="32"/>
          <w:szCs w:val="32"/>
          <w:lang w:bidi="ar"/>
        </w:rPr>
        <w:t>安全保障能力显著提升</w:t>
      </w:r>
    </w:p>
    <w:p>
      <w:pPr>
        <w:widowControl/>
        <w:ind w:firstLine="640"/>
        <w:jc w:val="left"/>
        <w:rPr>
          <w:sz w:val="32"/>
          <w:szCs w:val="32"/>
        </w:rPr>
      </w:pPr>
      <w:r>
        <w:rPr>
          <w:rFonts w:ascii="仿宋_GB2312" w:hAnsi="仿宋_GB2312" w:cs="仿宋_GB2312"/>
          <w:kern w:val="0"/>
          <w:sz w:val="32"/>
          <w:szCs w:val="32"/>
          <w:lang w:bidi="ar"/>
        </w:rPr>
        <w:t>交通运输安全生产形势持续稳定，交通运输本质安全水平大幅提升，企业安全管理有效规范，重大风险防范化解和重大事故隐患治理能力显著增强，调度指挥体系、物资储备体系、运输投送体系、维护抢修体系</w:t>
      </w:r>
      <w:r>
        <w:rPr>
          <w:rFonts w:eastAsia="宋体"/>
          <w:kern w:val="0"/>
          <w:sz w:val="32"/>
          <w:szCs w:val="32"/>
          <w:lang w:bidi="ar"/>
        </w:rPr>
        <w:t>“</w:t>
      </w:r>
      <w:r>
        <w:rPr>
          <w:rFonts w:ascii="仿宋_GB2312" w:hAnsi="仿宋_GB2312" w:cs="仿宋_GB2312"/>
          <w:kern w:val="0"/>
          <w:sz w:val="32"/>
          <w:szCs w:val="32"/>
          <w:lang w:bidi="ar"/>
        </w:rPr>
        <w:t>四个体系</w:t>
      </w:r>
      <w:r>
        <w:rPr>
          <w:rFonts w:eastAsia="宋体"/>
          <w:kern w:val="0"/>
          <w:sz w:val="32"/>
          <w:szCs w:val="32"/>
          <w:lang w:bidi="ar"/>
        </w:rPr>
        <w:t>”</w:t>
      </w:r>
      <w:r>
        <w:rPr>
          <w:rFonts w:ascii="仿宋_GB2312" w:hAnsi="仿宋_GB2312" w:cs="仿宋_GB2312"/>
          <w:kern w:val="0"/>
          <w:sz w:val="32"/>
          <w:szCs w:val="32"/>
          <w:lang w:bidi="ar"/>
        </w:rPr>
        <w:t>更加完备。交通网络韧性显著提升，有力支撑产业链供应链安全稳定发展。</w:t>
      </w:r>
    </w:p>
    <w:p>
      <w:pPr>
        <w:widowControl/>
        <w:ind w:firstLine="643"/>
        <w:jc w:val="left"/>
        <w:rPr>
          <w:sz w:val="32"/>
          <w:szCs w:val="32"/>
        </w:rPr>
      </w:pPr>
      <w:r>
        <w:rPr>
          <w:rFonts w:eastAsia="宋体"/>
          <w:b/>
          <w:bCs/>
          <w:kern w:val="0"/>
          <w:sz w:val="32"/>
          <w:szCs w:val="32"/>
          <w:lang w:bidi="ar"/>
        </w:rPr>
        <w:t>——</w:t>
      </w:r>
      <w:r>
        <w:rPr>
          <w:rFonts w:ascii="仿宋_GB2312" w:hAnsi="仿宋_GB2312" w:cs="仿宋_GB2312"/>
          <w:b/>
          <w:bCs/>
          <w:kern w:val="0"/>
          <w:sz w:val="32"/>
          <w:szCs w:val="32"/>
          <w:lang w:bidi="ar"/>
        </w:rPr>
        <w:t>行业治理水平明显提高</w:t>
      </w:r>
    </w:p>
    <w:p>
      <w:pPr>
        <w:widowControl/>
        <w:ind w:firstLine="640"/>
        <w:jc w:val="left"/>
        <w:rPr>
          <w:rFonts w:ascii="仿宋_GB2312" w:hAnsi="仿宋_GB2312" w:cs="仿宋_GB2312"/>
          <w:b/>
          <w:bCs/>
          <w:szCs w:val="28"/>
        </w:rPr>
      </w:pPr>
      <w:r>
        <w:rPr>
          <w:rFonts w:hint="eastAsia" w:ascii="仿宋_GB2312" w:hAnsi="仿宋_GB2312" w:cs="仿宋_GB2312"/>
          <w:kern w:val="0"/>
          <w:sz w:val="32"/>
          <w:szCs w:val="32"/>
          <w:lang w:bidi="ar"/>
        </w:rPr>
        <w:t>公路</w:t>
      </w:r>
      <w:r>
        <w:rPr>
          <w:rFonts w:ascii="仿宋_GB2312" w:hAnsi="仿宋_GB2312" w:cs="仿宋_GB2312"/>
          <w:kern w:val="0"/>
          <w:sz w:val="32"/>
          <w:szCs w:val="32"/>
          <w:lang w:bidi="ar"/>
        </w:rPr>
        <w:t>养护运行管理制度建立健全</w:t>
      </w:r>
      <w:r>
        <w:rPr>
          <w:rFonts w:hint="eastAsia" w:ascii="仿宋_GB2312" w:hAnsi="仿宋_GB2312" w:cs="仿宋_GB2312"/>
          <w:kern w:val="0"/>
          <w:sz w:val="32"/>
          <w:szCs w:val="32"/>
          <w:lang w:bidi="ar"/>
        </w:rPr>
        <w:t>，</w:t>
      </w:r>
      <w:r>
        <w:rPr>
          <w:rFonts w:ascii="仿宋_GB2312" w:hAnsi="仿宋_GB2312" w:cs="仿宋_GB2312"/>
          <w:kern w:val="0"/>
          <w:sz w:val="32"/>
          <w:szCs w:val="32"/>
          <w:lang w:bidi="ar"/>
        </w:rPr>
        <w:t>交通运输市场政务服务的质量和效率显著提升，加快建设统一开放的交通运输市场，营商环境持续优化。交通运输管理体制机制更加完善，跨区域、跨部门协同效率显著提高。综合交通法规制度体系更加健全，交通执法更加严格规范公正文明。信用监管基本实现重点领域全覆盖，形成法治交通和信用交通的示范。</w:t>
      </w:r>
    </w:p>
    <w:p>
      <w:pPr>
        <w:ind w:firstLine="480"/>
        <w:rPr>
          <w:rFonts w:ascii="黑体" w:hAnsi="黑体" w:eastAsia="黑体" w:cs="黑体"/>
          <w:sz w:val="24"/>
        </w:rPr>
      </w:pPr>
      <w:r>
        <w:rPr>
          <w:rFonts w:hint="eastAsia" w:ascii="黑体" w:hAnsi="黑体" w:eastAsia="黑体" w:cs="黑体"/>
          <w:sz w:val="24"/>
        </w:rPr>
        <w:br w:type="page"/>
      </w:r>
    </w:p>
    <w:p>
      <w:pPr>
        <w:ind w:left="560" w:leftChars="200" w:firstLine="0" w:firstLineChars="0"/>
        <w:jc w:val="center"/>
        <w:rPr>
          <w:rFonts w:ascii="黑体" w:hAnsi="黑体" w:eastAsia="黑体" w:cs="黑体"/>
          <w:sz w:val="24"/>
        </w:rPr>
      </w:pPr>
      <w:r>
        <w:rPr>
          <w:rFonts w:hint="eastAsia" w:ascii="黑体" w:hAnsi="黑体" w:eastAsia="黑体" w:cs="黑体"/>
          <w:sz w:val="24"/>
        </w:rPr>
        <w:t>表4-1叶集区“十五五”交通运输发展目标表</w:t>
      </w:r>
    </w:p>
    <w:tbl>
      <w:tblPr>
        <w:tblStyle w:val="32"/>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39"/>
        <w:gridCol w:w="5123"/>
        <w:gridCol w:w="1118"/>
        <w:gridCol w:w="990"/>
        <w:gridCol w:w="102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blHeader/>
        </w:trPr>
        <w:tc>
          <w:tcPr>
            <w:tcW w:w="411" w:type="pct"/>
            <w:tcBorders>
              <w:top w:val="single" w:color="auto" w:sz="8" w:space="0"/>
              <w:left w:val="single" w:color="auto" w:sz="8" w:space="0"/>
              <w:bottom w:val="single" w:color="auto" w:sz="4" w:space="0"/>
              <w:right w:val="single" w:color="auto" w:sz="4" w:space="0"/>
            </w:tcBorders>
            <w:shd w:val="clear" w:color="auto" w:fill="FFFFFF"/>
            <w:vAlign w:val="center"/>
          </w:tcPr>
          <w:p>
            <w:pPr>
              <w:widowControl/>
              <w:spacing w:line="240" w:lineRule="auto"/>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类别</w:t>
            </w: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spacing w:line="240" w:lineRule="auto"/>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指标</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spacing w:line="240" w:lineRule="auto"/>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2025年</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spacing w:line="240" w:lineRule="auto"/>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2030年预计值</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spacing w:line="240" w:lineRule="auto"/>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指标类型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restart"/>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基础</w:t>
            </w:r>
          </w:p>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设施</w:t>
            </w: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△高速公路总里程（公里）</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40</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50</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★普通国省道二级以上公路比例（%）</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83%</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≥88%</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△乡镇通二级及以上公路比例（%）</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约束型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△建制村通双车道比例（%）</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94.29</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≥96</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约束型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restart"/>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运输</w:t>
            </w:r>
          </w:p>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服务</w:t>
            </w: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△建成区公共交通站点500米覆盖率（%）</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97.60</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≥98</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★旅客联程运输换乘时间（分钟）</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≤30</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★新增及更新公共汽电车配备无障碍设施比例（%）</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90</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★社会物流总费用占GDP比重（%）</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15</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≤12</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36" w:hRule="atLeast"/>
        </w:trPr>
        <w:tc>
          <w:tcPr>
            <w:tcW w:w="411" w:type="pct"/>
            <w:vMerge w:val="restart"/>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智慧</w:t>
            </w:r>
          </w:p>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绿色</w:t>
            </w:r>
          </w:p>
        </w:tc>
        <w:tc>
          <w:tcPr>
            <w:tcW w:w="2846" w:type="pct"/>
            <w:tcBorders>
              <w:top w:val="single" w:color="auto" w:sz="8" w:space="0"/>
              <w:left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★高速公路服务区新能源充电桩配套率（%）</w:t>
            </w:r>
          </w:p>
        </w:tc>
        <w:tc>
          <w:tcPr>
            <w:tcW w:w="621" w:type="pct"/>
            <w:tcBorders>
              <w:top w:val="single" w:color="auto" w:sz="8" w:space="0"/>
              <w:left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50" w:type="pct"/>
            <w:tcBorders>
              <w:top w:val="single" w:color="auto" w:sz="8" w:space="0"/>
              <w:left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★新增和更新新能源重型卡车比例（%）</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30</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△普通国省道废旧路面材料循环利用率（%）</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90</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≥95</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11" w:type="pct"/>
            <w:vMerge w:val="restart"/>
            <w:tcBorders>
              <w:top w:val="single" w:color="auto" w:sz="8" w:space="0"/>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安全</w:t>
            </w:r>
          </w:p>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韧性</w:t>
            </w:r>
          </w:p>
        </w:tc>
        <w:tc>
          <w:tcPr>
            <w:tcW w:w="2846" w:type="pct"/>
            <w:tcBorders>
              <w:top w:val="single" w:color="auto" w:sz="8"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△一般公路交通事件应急抢通时间（小时）</w:t>
            </w:r>
          </w:p>
        </w:tc>
        <w:tc>
          <w:tcPr>
            <w:tcW w:w="62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≤24</w:t>
            </w:r>
          </w:p>
        </w:tc>
        <w:tc>
          <w:tcPr>
            <w:tcW w:w="550"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≤24</w:t>
            </w:r>
          </w:p>
        </w:tc>
        <w:tc>
          <w:tcPr>
            <w:tcW w:w="571" w:type="pct"/>
            <w:tcBorders>
              <w:top w:val="single" w:color="auto" w:sz="8" w:space="0"/>
              <w:left w:val="single" w:color="auto" w:sz="4" w:space="0"/>
              <w:bottom w:val="single" w:color="auto" w:sz="4"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★国省干线公路新发现四、五类桥梁（隧道）处置率（%）</w:t>
            </w:r>
          </w:p>
        </w:tc>
        <w:tc>
          <w:tcPr>
            <w:tcW w:w="62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50"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7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约束型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★道路运输较大及以上等级行车事故万车死亡人数下降率（%）</w:t>
            </w:r>
          </w:p>
        </w:tc>
        <w:tc>
          <w:tcPr>
            <w:tcW w:w="62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w:t>
            </w:r>
          </w:p>
        </w:tc>
        <w:tc>
          <w:tcPr>
            <w:tcW w:w="550"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w:t>
            </w:r>
          </w:p>
        </w:tc>
        <w:tc>
          <w:tcPr>
            <w:tcW w:w="57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★平安工地建设比例（%）</w:t>
            </w:r>
          </w:p>
        </w:tc>
        <w:tc>
          <w:tcPr>
            <w:tcW w:w="62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70</w:t>
            </w:r>
          </w:p>
        </w:tc>
        <w:tc>
          <w:tcPr>
            <w:tcW w:w="550"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100</w:t>
            </w:r>
          </w:p>
        </w:tc>
        <w:tc>
          <w:tcPr>
            <w:tcW w:w="57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1" w:type="pct"/>
            <w:vMerge w:val="continue"/>
            <w:tcBorders>
              <w:left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p>
        </w:tc>
        <w:tc>
          <w:tcPr>
            <w:tcW w:w="2846" w:type="pct"/>
            <w:tcBorders>
              <w:top w:val="single" w:color="auto" w:sz="8" w:space="0"/>
              <w:left w:val="single" w:color="auto" w:sz="4" w:space="0"/>
              <w:bottom w:val="single" w:color="auto" w:sz="8" w:space="0"/>
              <w:right w:val="single" w:color="auto" w:sz="4"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★公路重要节点实时监测覆盖率（%）</w:t>
            </w:r>
          </w:p>
        </w:tc>
        <w:tc>
          <w:tcPr>
            <w:tcW w:w="62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w:t>
            </w:r>
          </w:p>
        </w:tc>
        <w:tc>
          <w:tcPr>
            <w:tcW w:w="550"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center"/>
              <w:rPr>
                <w:rFonts w:ascii="仿宋_GB2312" w:hAnsi="仿宋_GB2312" w:cs="仿宋_GB2312"/>
                <w:kern w:val="0"/>
                <w:sz w:val="24"/>
                <w:lang w:bidi="ar"/>
              </w:rPr>
            </w:pPr>
            <w:r>
              <w:rPr>
                <w:rFonts w:hint="eastAsia" w:ascii="仿宋_GB2312" w:hAnsi="仿宋_GB2312" w:cs="仿宋_GB2312"/>
                <w:kern w:val="0"/>
                <w:sz w:val="24"/>
                <w:lang w:bidi="ar"/>
              </w:rPr>
              <w:t>≥95</w:t>
            </w:r>
          </w:p>
        </w:tc>
        <w:tc>
          <w:tcPr>
            <w:tcW w:w="571" w:type="pct"/>
            <w:tcBorders>
              <w:top w:val="single" w:color="auto" w:sz="8" w:space="0"/>
              <w:left w:val="single" w:color="auto" w:sz="4" w:space="0"/>
              <w:bottom w:val="single" w:color="auto" w:sz="8" w:space="0"/>
              <w:right w:val="single" w:color="auto" w:sz="8" w:space="0"/>
            </w:tcBorders>
            <w:shd w:val="clear" w:color="auto" w:fill="FFFFFF"/>
            <w:vAlign w:val="center"/>
          </w:tcPr>
          <w:p>
            <w:pPr>
              <w:widowControl/>
              <w:ind w:firstLine="0" w:firstLineChars="0"/>
              <w:jc w:val="left"/>
              <w:rPr>
                <w:rFonts w:ascii="仿宋_GB2312" w:hAnsi="仿宋_GB2312" w:cs="仿宋_GB2312"/>
                <w:kern w:val="0"/>
                <w:sz w:val="24"/>
                <w:lang w:bidi="ar"/>
              </w:rPr>
            </w:pPr>
            <w:r>
              <w:rPr>
                <w:rFonts w:hint="eastAsia" w:ascii="仿宋_GB2312" w:hAnsi="仿宋_GB2312" w:cs="仿宋_GB2312"/>
                <w:kern w:val="0"/>
                <w:sz w:val="24"/>
                <w:lang w:bidi="ar"/>
              </w:rPr>
              <w:t>预期型</w:t>
            </w:r>
          </w:p>
        </w:tc>
      </w:tr>
    </w:tbl>
    <w:p>
      <w:pPr>
        <w:pStyle w:val="21"/>
        <w:spacing w:line="360" w:lineRule="auto"/>
        <w:ind w:left="0" w:leftChars="0" w:firstLine="400"/>
        <w:rPr>
          <w:rFonts w:ascii="仿宋" w:hAnsi="仿宋" w:eastAsia="仿宋"/>
          <w:b/>
          <w:bCs/>
          <w:szCs w:val="28"/>
        </w:rPr>
      </w:pPr>
      <w:r>
        <w:rPr>
          <w:rFonts w:hint="eastAsia" w:ascii="仿宋_GB2312" w:hAnsi="仿宋_GB2312" w:cs="仿宋_GB2312"/>
          <w:kern w:val="0"/>
          <w:sz w:val="20"/>
          <w:szCs w:val="20"/>
        </w:rPr>
        <w:t>注：△表示从“十四五”继承发展来的共6个指标，体现上承十四五。★表示与交通强省建设评价指标衔接或者国家、省、市交通运输“十五五”发展规划提出的指标，共10个指标，体现发展的阶段性特点。</w:t>
      </w:r>
    </w:p>
    <w:p>
      <w:pPr>
        <w:pStyle w:val="57"/>
        <w:numPr>
          <w:ilvl w:val="0"/>
          <w:numId w:val="1"/>
        </w:numPr>
        <w:tabs>
          <w:tab w:val="left" w:pos="462"/>
          <w:tab w:val="left" w:pos="540"/>
          <w:tab w:val="left" w:pos="966"/>
          <w:tab w:val="left" w:pos="1145"/>
          <w:tab w:val="clear" w:pos="0"/>
        </w:tabs>
        <w:snapToGrid w:val="0"/>
        <w:spacing w:before="156" w:beforeLines="50" w:after="0"/>
        <w:jc w:val="center"/>
        <w:rPr>
          <w:rFonts w:ascii="Times New Roman" w:cs="Times New Roman"/>
          <w:sz w:val="36"/>
          <w:szCs w:val="36"/>
        </w:rPr>
      </w:pPr>
      <w:bookmarkStart w:id="42" w:name="_Toc31684"/>
      <w:bookmarkStart w:id="43" w:name="_Toc1037"/>
      <w:bookmarkStart w:id="44" w:name="_Toc3491"/>
      <w:bookmarkStart w:id="45" w:name="_Toc1672"/>
      <w:r>
        <w:rPr>
          <w:rFonts w:hint="eastAsia" w:ascii="Times New Roman" w:cs="Times New Roman"/>
          <w:sz w:val="36"/>
          <w:szCs w:val="36"/>
        </w:rPr>
        <w:t>重点任务</w:t>
      </w:r>
      <w:bookmarkEnd w:id="42"/>
      <w:bookmarkEnd w:id="43"/>
      <w:bookmarkEnd w:id="44"/>
      <w:bookmarkEnd w:id="45"/>
    </w:p>
    <w:p>
      <w:pPr>
        <w:pStyle w:val="3"/>
        <w:tabs>
          <w:tab w:val="left" w:pos="630"/>
          <w:tab w:val="clear" w:pos="0"/>
        </w:tabs>
        <w:spacing w:before="468" w:beforeLines="150" w:after="240"/>
        <w:rPr>
          <w:rFonts w:ascii="Times New Roman" w:hAnsi="Times New Roman"/>
          <w:sz w:val="32"/>
        </w:rPr>
      </w:pPr>
      <w:bookmarkStart w:id="46" w:name="_Toc9364"/>
      <w:bookmarkStart w:id="47" w:name="_Toc29459"/>
      <w:bookmarkStart w:id="48" w:name="_Toc30262"/>
      <w:bookmarkStart w:id="49" w:name="_Toc419053399"/>
      <w:bookmarkStart w:id="50" w:name="_Toc419049304"/>
      <w:r>
        <w:rPr>
          <w:rFonts w:hint="eastAsia" w:ascii="Times New Roman" w:hAnsi="Times New Roman"/>
          <w:sz w:val="32"/>
        </w:rPr>
        <w:t>构建高效的综合交通网</w:t>
      </w:r>
      <w:bookmarkEnd w:id="46"/>
      <w:bookmarkEnd w:id="47"/>
      <w:bookmarkEnd w:id="48"/>
    </w:p>
    <w:p>
      <w:pPr>
        <w:pStyle w:val="4"/>
        <w:tabs>
          <w:tab w:val="clear" w:pos="0"/>
        </w:tabs>
        <w:spacing w:before="312" w:beforeLines="100" w:after="312" w:afterLines="100"/>
        <w:rPr>
          <w:sz w:val="32"/>
        </w:rPr>
      </w:pPr>
      <w:bookmarkStart w:id="51" w:name="_Toc23365"/>
      <w:bookmarkStart w:id="52" w:name="_Toc25800"/>
      <w:r>
        <w:rPr>
          <w:rFonts w:hint="eastAsia"/>
          <w:sz w:val="32"/>
        </w:rPr>
        <w:t>布局</w:t>
      </w:r>
      <w:bookmarkEnd w:id="51"/>
      <w:r>
        <w:rPr>
          <w:rFonts w:hint="eastAsia"/>
          <w:sz w:val="32"/>
        </w:rPr>
        <w:t>“4511四纵五横双循环”大通道</w:t>
      </w:r>
      <w:bookmarkEnd w:id="52"/>
    </w:p>
    <w:p>
      <w:pPr>
        <w:ind w:firstLine="640"/>
        <w:rPr>
          <w:sz w:val="32"/>
          <w:szCs w:val="32"/>
        </w:rPr>
      </w:pPr>
      <w:r>
        <w:rPr>
          <w:rFonts w:hint="eastAsia"/>
          <w:sz w:val="32"/>
          <w:szCs w:val="32"/>
        </w:rPr>
        <w:t>依托G42（沪蓉高速）、G40（沪陕高速）、S65（霍邱至金寨高速）、G312、G105、G632、S329、S437、S245、S325等公路主动脉，协同打造“4511四纵五横双循环”大通道，提升叶集区域交通地位。</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专栏1：布局“4511四纵五横双循环”大通道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3" w:type="dxa"/>
            <w:tcBorders>
              <w:top w:val="single" w:color="000000" w:sz="4" w:space="0"/>
            </w:tcBorders>
            <w:shd w:val="clear" w:color="auto" w:fill="FFFFFF"/>
          </w:tcPr>
          <w:p>
            <w:pPr>
              <w:ind w:firstLine="560"/>
              <w:rPr>
                <w:rFonts w:eastAsia="黑体"/>
                <w:szCs w:val="28"/>
              </w:rPr>
            </w:pPr>
            <w:r>
              <w:rPr>
                <w:rFonts w:hint="eastAsia" w:eastAsia="黑体"/>
                <w:szCs w:val="28"/>
              </w:rPr>
              <w:t>“4511四纵五横双循环”大通道：</w:t>
            </w:r>
          </w:p>
          <w:p>
            <w:pPr>
              <w:ind w:firstLine="562"/>
              <w:rPr>
                <w:rFonts w:eastAsia="黑体"/>
                <w:szCs w:val="28"/>
              </w:rPr>
            </w:pPr>
            <w:r>
              <w:rPr>
                <w:rFonts w:hint="eastAsia" w:eastAsia="黑体"/>
                <w:b/>
                <w:bCs/>
                <w:szCs w:val="28"/>
              </w:rPr>
              <w:t>四纵：</w:t>
            </w:r>
            <w:r>
              <w:rPr>
                <w:rFonts w:hint="eastAsia" w:eastAsia="黑体"/>
                <w:szCs w:val="28"/>
              </w:rPr>
              <w:t>G105为一纵，S65、G42组成二纵，S245、G529组成三纵，S325为四纵；</w:t>
            </w:r>
          </w:p>
          <w:p>
            <w:pPr>
              <w:ind w:firstLine="562"/>
              <w:rPr>
                <w:rFonts w:eastAsia="黑体"/>
                <w:szCs w:val="28"/>
              </w:rPr>
            </w:pPr>
            <w:r>
              <w:rPr>
                <w:rFonts w:hint="eastAsia" w:eastAsia="黑体"/>
                <w:b/>
                <w:bCs/>
                <w:szCs w:val="28"/>
              </w:rPr>
              <w:t>五横：</w:t>
            </w:r>
            <w:r>
              <w:rPr>
                <w:rFonts w:hint="eastAsia" w:eastAsia="黑体"/>
                <w:szCs w:val="28"/>
              </w:rPr>
              <w:t>G632为一横，G312、S439组成二横，G40为三横，X308为四横，S437为五横；</w:t>
            </w:r>
          </w:p>
          <w:p>
            <w:pPr>
              <w:ind w:firstLine="562"/>
              <w:rPr>
                <w:rFonts w:eastAsia="黑体"/>
                <w:b/>
                <w:bCs/>
                <w:szCs w:val="28"/>
              </w:rPr>
            </w:pPr>
            <w:r>
              <w:rPr>
                <w:rFonts w:hint="eastAsia" w:eastAsia="黑体"/>
                <w:b/>
                <w:bCs/>
                <w:szCs w:val="28"/>
              </w:rPr>
              <w:t>双循环：</w:t>
            </w:r>
          </w:p>
          <w:p>
            <w:pPr>
              <w:ind w:firstLine="560"/>
              <w:rPr>
                <w:rFonts w:eastAsia="黑体"/>
                <w:szCs w:val="28"/>
              </w:rPr>
            </w:pPr>
            <w:r>
              <w:rPr>
                <w:rFonts w:hint="eastAsia" w:eastAsia="黑体"/>
                <w:szCs w:val="28"/>
              </w:rPr>
              <w:t>S325、S437、G105、G632、S329串联成一个大循环；</w:t>
            </w:r>
          </w:p>
          <w:p>
            <w:pPr>
              <w:ind w:firstLine="560"/>
              <w:rPr>
                <w:szCs w:val="28"/>
              </w:rPr>
            </w:pPr>
            <w:r>
              <w:rPr>
                <w:rFonts w:hint="eastAsia" w:eastAsia="黑体"/>
                <w:szCs w:val="28"/>
              </w:rPr>
              <w:t>G312、S329串联为一个小循环。</w:t>
            </w:r>
          </w:p>
        </w:tc>
      </w:tr>
    </w:tbl>
    <w:p>
      <w:pPr>
        <w:ind w:firstLine="0" w:firstLineChars="0"/>
        <w:jc w:val="center"/>
        <w:rPr>
          <w:rFonts w:ascii="黑体" w:hAnsi="黑体" w:eastAsia="黑体" w:cs="黑体"/>
          <w:szCs w:val="28"/>
        </w:rPr>
      </w:pPr>
    </w:p>
    <w:p>
      <w:pPr>
        <w:pStyle w:val="4"/>
        <w:tabs>
          <w:tab w:val="clear" w:pos="0"/>
        </w:tabs>
        <w:spacing w:before="312" w:beforeLines="100" w:after="312" w:afterLines="100"/>
        <w:rPr>
          <w:sz w:val="32"/>
        </w:rPr>
      </w:pPr>
      <w:bookmarkStart w:id="53" w:name="_Toc20306"/>
      <w:r>
        <w:rPr>
          <w:rFonts w:hint="eastAsia"/>
          <w:sz w:val="32"/>
        </w:rPr>
        <w:t>打造互联互通的高速公路网</w:t>
      </w:r>
      <w:bookmarkEnd w:id="53"/>
    </w:p>
    <w:p>
      <w:pPr>
        <w:ind w:firstLine="640"/>
        <w:rPr>
          <w:kern w:val="21"/>
          <w:sz w:val="32"/>
          <w:szCs w:val="32"/>
        </w:rPr>
      </w:pPr>
      <w:r>
        <w:rPr>
          <w:rFonts w:hint="eastAsia"/>
          <w:sz w:val="32"/>
          <w:szCs w:val="32"/>
        </w:rPr>
        <w:t>以加密、扩容为重点，实施高速公路网新建和扩容工程。利用叶集兼具长三角向西辐射前沿和中原地区向东融入关键节点的双重区位优势，持续推进省际毗邻地区一体化发展，加强叶集与周边区域的快速联系，大力推进S65霍邱至金寨高速叶集段新建工程、G40沪陕高速叶集段四改八扩建工程、G40沪陕高速叶集东互通新建工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bookmarkStart w:id="54" w:name="_Toc18718"/>
            <w:r>
              <w:rPr>
                <w:rFonts w:hint="eastAsia" w:eastAsia="黑体"/>
                <w:szCs w:val="28"/>
              </w:rPr>
              <w:t>专栏2：打造互联互通的高速公路网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3" w:type="dxa"/>
            <w:tcBorders>
              <w:top w:val="single" w:color="000000" w:sz="4" w:space="0"/>
            </w:tcBorders>
            <w:shd w:val="clear" w:color="auto" w:fill="FFFFFF"/>
          </w:tcPr>
          <w:p>
            <w:pPr>
              <w:ind w:firstLine="560"/>
            </w:pPr>
            <w:r>
              <w:rPr>
                <w:rFonts w:hint="eastAsia"/>
                <w:szCs w:val="28"/>
              </w:rPr>
              <w:t>实施S65霍邱至金寨高速叶集段新建工程、G40沪陕高速叶集段扩建工程、G40沪陕高速叶集东互通新建工程。</w:t>
            </w:r>
          </w:p>
          <w:p>
            <w:pPr>
              <w:ind w:firstLine="560"/>
            </w:pPr>
            <w:r>
              <w:rPr>
                <w:rFonts w:hint="eastAsia"/>
                <w:szCs w:val="28"/>
              </w:rPr>
              <w:t>谋划G42沪蓉高速大顾店至长岭关叶集段扩建工程。</w:t>
            </w:r>
          </w:p>
        </w:tc>
      </w:tr>
    </w:tbl>
    <w:p>
      <w:pPr>
        <w:ind w:firstLine="0" w:firstLineChars="0"/>
        <w:jc w:val="center"/>
      </w:pPr>
    </w:p>
    <w:p>
      <w:pPr>
        <w:pStyle w:val="4"/>
        <w:tabs>
          <w:tab w:val="clear" w:pos="0"/>
        </w:tabs>
        <w:spacing w:before="312" w:beforeLines="100" w:after="312" w:afterLines="100"/>
        <w:rPr>
          <w:sz w:val="32"/>
        </w:rPr>
      </w:pPr>
      <w:bookmarkStart w:id="55" w:name="_Toc24500"/>
      <w:r>
        <w:rPr>
          <w:rFonts w:hint="eastAsia"/>
          <w:sz w:val="32"/>
        </w:rPr>
        <w:t>建设内畅外联的国省干线网</w:t>
      </w:r>
      <w:bookmarkEnd w:id="55"/>
    </w:p>
    <w:p>
      <w:pPr>
        <w:ind w:firstLine="640"/>
        <w:rPr>
          <w:sz w:val="32"/>
          <w:szCs w:val="32"/>
        </w:rPr>
      </w:pPr>
      <w:r>
        <w:rPr>
          <w:rFonts w:hint="eastAsia"/>
          <w:sz w:val="32"/>
          <w:szCs w:val="32"/>
        </w:rPr>
        <w:t>围绕叶集区经济社会发展需求，推进长三角交通运输和省际毗邻地区一体化发展，构建内联外畅的城乡交通运输体系。通过国省干线升级改造及综合交通融合，构建现代化公路网络和物流运输网络。</w:t>
      </w:r>
    </w:p>
    <w:p>
      <w:pPr>
        <w:ind w:firstLine="640"/>
        <w:rPr>
          <w:sz w:val="32"/>
          <w:szCs w:val="32"/>
        </w:rPr>
      </w:pPr>
      <w:r>
        <w:rPr>
          <w:rFonts w:hint="eastAsia"/>
          <w:sz w:val="32"/>
          <w:szCs w:val="32"/>
        </w:rPr>
        <w:t>稳步推进普通国省道低等级路段升级改造和规划待贯通路段建设，打通内部骨架路网断头路、消除瓶颈段，补齐普通国省干线公路短板，发挥普通干线公路网整体效能和规模效益。</w:t>
      </w:r>
    </w:p>
    <w:p>
      <w:pPr>
        <w:ind w:firstLine="640"/>
        <w:rPr>
          <w:sz w:val="32"/>
          <w:szCs w:val="32"/>
        </w:rPr>
      </w:pPr>
      <w:r>
        <w:rPr>
          <w:rFonts w:hint="eastAsia"/>
          <w:sz w:val="32"/>
          <w:szCs w:val="32"/>
        </w:rPr>
        <w:t>加快推进G632皖豫两省畅通工程叶集至固始段、G529孙岗至平岗段、G312叶集段（中至信大道至西外环）改造工程等项目建设，推进S437叶集段皖豫省际毗邻合作项目、S439叶集段皖豫省际毗邻合作项目（四方塘－史河湾村）工程等项目前期工作，提升国省干线公路的通行能力和服务水平。</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专栏3：建设内畅外联的国省干线网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top w:val="single" w:color="000000" w:sz="4" w:space="0"/>
            </w:tcBorders>
            <w:shd w:val="clear" w:color="auto" w:fill="FFFFFF"/>
          </w:tcPr>
          <w:p>
            <w:pPr>
              <w:ind w:firstLine="562"/>
              <w:rPr>
                <w:szCs w:val="28"/>
              </w:rPr>
            </w:pPr>
            <w:r>
              <w:rPr>
                <w:rFonts w:hint="eastAsia"/>
                <w:b/>
                <w:bCs/>
                <w:szCs w:val="28"/>
              </w:rPr>
              <w:t>实施</w:t>
            </w:r>
            <w:r>
              <w:rPr>
                <w:rFonts w:hint="eastAsia"/>
                <w:szCs w:val="28"/>
              </w:rPr>
              <w:t>G632皖豫两省畅通工程叶集至固始段（包含G632叶集段（姚李至平岗段）新建工程、G632叶集平岗段新建工程、G632史河大桥及接线工程）、G529孙岗至平岗段新改建工程、G312叶集段（中至信大道至西外环）改造工程等项目建设；</w:t>
            </w:r>
          </w:p>
          <w:p>
            <w:pPr>
              <w:ind w:firstLine="560"/>
              <w:rPr>
                <w:szCs w:val="28"/>
              </w:rPr>
            </w:pPr>
            <w:r>
              <w:rPr>
                <w:rFonts w:hint="eastAsia"/>
                <w:szCs w:val="28"/>
              </w:rPr>
              <w:t>推进G312叶集段瓶颈路改扩建工程（大顾店上跨G42）、G105叶集段改建工程、S437叶集段皖豫省际毗邻合作、S439叶集段皖豫省际毗邻合作等项目前期工作；</w:t>
            </w:r>
          </w:p>
          <w:p>
            <w:pPr>
              <w:ind w:firstLine="560"/>
              <w:rPr>
                <w:szCs w:val="28"/>
              </w:rPr>
            </w:pPr>
            <w:r>
              <w:rPr>
                <w:rFonts w:hint="eastAsia"/>
                <w:szCs w:val="28"/>
              </w:rPr>
              <w:t>谋划G312叶集段（叶集实验学校至裕安界）快速化改造项目、S329叶集段（永和路至金寨界）改造工程、S325叶集段（香樟大道至皖西路）新建工程、S325扈胡至孙岗段新建工程、S245叶集段（三元-平岗）改建工程、S247叶集段新建工程等项目。</w:t>
            </w:r>
          </w:p>
        </w:tc>
      </w:tr>
    </w:tbl>
    <w:p>
      <w:pPr>
        <w:ind w:firstLine="640"/>
        <w:rPr>
          <w:sz w:val="32"/>
          <w:szCs w:val="32"/>
        </w:rPr>
      </w:pPr>
      <w:r>
        <w:rPr>
          <w:rFonts w:hint="eastAsia"/>
          <w:sz w:val="32"/>
          <w:szCs w:val="32"/>
        </w:rPr>
        <w:t>公路服务区是交通运输行业服务群众的重要“窗口”，也是社会公众驾乘车辆出行的重要休息场所，对于满足驾乘人员生理和心理需求、预防疲劳驾驶、为车辆提供加油和维修服务、消除行车安全隐患具有十分重要的作用。完善G40高速公路与G105、G312普通国道公路服务区建设，对解决部分服务区在重大节假日期间车辆进出难、加油难、旅客如厕难、环境卫生差等问题有重要意义。</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专栏4：打造服务高效的公路服务区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top w:val="single" w:color="000000" w:sz="4" w:space="0"/>
            </w:tcBorders>
            <w:shd w:val="clear" w:color="auto" w:fill="FFFFFF"/>
          </w:tcPr>
          <w:p>
            <w:pPr>
              <w:ind w:firstLine="560"/>
              <w:rPr>
                <w:szCs w:val="28"/>
              </w:rPr>
            </w:pPr>
            <w:r>
              <w:rPr>
                <w:rFonts w:hint="eastAsia"/>
                <w:szCs w:val="28"/>
              </w:rPr>
              <w:t>实施G312叶集区公路服务区项目。</w:t>
            </w:r>
          </w:p>
          <w:p>
            <w:pPr>
              <w:ind w:firstLine="560"/>
            </w:pPr>
            <w:r>
              <w:rPr>
                <w:rFonts w:hint="eastAsia"/>
                <w:szCs w:val="28"/>
              </w:rPr>
              <w:t>谋划G40沪陕高速叶集服务区。</w:t>
            </w:r>
          </w:p>
        </w:tc>
      </w:tr>
    </w:tbl>
    <w:p>
      <w:pPr>
        <w:ind w:firstLine="560"/>
      </w:pPr>
    </w:p>
    <w:p>
      <w:pPr>
        <w:ind w:firstLine="640"/>
        <w:rPr>
          <w:sz w:val="32"/>
          <w:szCs w:val="32"/>
        </w:rPr>
      </w:pPr>
      <w:r>
        <w:rPr>
          <w:rFonts w:hint="eastAsia"/>
          <w:sz w:val="32"/>
          <w:szCs w:val="32"/>
        </w:rPr>
        <w:t>持续实施普通国省道养护工程。大力推进预防性养护，根据路况衰变情况安排预防性养护工程，逐年增加预防性养护实施比例。针对路况较差路段、危旧桥梁、灾害易发路段等开展修复性养护工程。加强养护工程项目前期工作，对于长期服役、路况衰减严重以及受施工建设影响路面技术状况的重要路段，适时启动大中修工程。</w:t>
      </w:r>
    </w:p>
    <w:p>
      <w:pPr>
        <w:ind w:firstLine="640"/>
        <w:rPr>
          <w:sz w:val="32"/>
          <w:szCs w:val="32"/>
        </w:rPr>
      </w:pPr>
      <w:r>
        <w:rPr>
          <w:rFonts w:hint="eastAsia"/>
          <w:sz w:val="32"/>
          <w:szCs w:val="32"/>
        </w:rPr>
        <w:t>做好公路交通安全设施精细化提升工作，对事故易发多发点段进行评估，从人、车、路、环境、管理等方面运用各种技术手段详细分析事故成因，从完善交通安全设施、促进规范行车秩序等方面，研究制定优化公路安全通行环境的实施计划。对情况较为复杂、治理难度较大的重点路段，组织专业技术力量实地勘察，实行“一点一方案”、“一路一设计”，研究制定技术方案并予以实施。</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专栏5：提高国省道养护水平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top w:val="single" w:color="000000" w:sz="4" w:space="0"/>
            </w:tcBorders>
            <w:shd w:val="clear" w:color="auto" w:fill="FFFFFF"/>
          </w:tcPr>
          <w:p>
            <w:pPr>
              <w:ind w:firstLine="562"/>
              <w:rPr>
                <w:szCs w:val="28"/>
              </w:rPr>
            </w:pPr>
            <w:r>
              <w:rPr>
                <w:rFonts w:hint="eastAsia"/>
                <w:b/>
                <w:bCs/>
                <w:szCs w:val="28"/>
              </w:rPr>
              <w:t>普通国省道养护工程：</w:t>
            </w:r>
            <w:r>
              <w:rPr>
                <w:rFonts w:hint="eastAsia"/>
                <w:szCs w:val="28"/>
              </w:rPr>
              <w:t>实施G312、G105、S437、S439、S245等普通国省干线公路路面修复养护工程。</w:t>
            </w:r>
          </w:p>
          <w:p>
            <w:pPr>
              <w:ind w:firstLine="562"/>
            </w:pPr>
            <w:r>
              <w:rPr>
                <w:rFonts w:hint="eastAsia"/>
                <w:b/>
                <w:bCs/>
                <w:szCs w:val="28"/>
              </w:rPr>
              <w:t>国省干线公路安全设施精细化提升工程：实施</w:t>
            </w:r>
            <w:r>
              <w:rPr>
                <w:rFonts w:hint="eastAsia"/>
                <w:szCs w:val="28"/>
              </w:rPr>
              <w:t>S245、S251、S437、S329等国省干线公路安全设施精细化提升工程。</w:t>
            </w:r>
          </w:p>
        </w:tc>
      </w:tr>
    </w:tbl>
    <w:p>
      <w:pPr>
        <w:ind w:firstLine="560"/>
      </w:pPr>
    </w:p>
    <w:p>
      <w:pPr>
        <w:pStyle w:val="4"/>
        <w:tabs>
          <w:tab w:val="clear" w:pos="0"/>
        </w:tabs>
        <w:spacing w:before="312" w:beforeLines="100" w:after="312" w:afterLines="100"/>
        <w:rPr>
          <w:sz w:val="32"/>
        </w:rPr>
      </w:pPr>
      <w:bookmarkStart w:id="56" w:name="_Toc2624"/>
      <w:r>
        <w:rPr>
          <w:rFonts w:hint="eastAsia"/>
          <w:sz w:val="32"/>
        </w:rPr>
        <w:t>升级全域覆盖的农村公路</w:t>
      </w:r>
      <w:bookmarkEnd w:id="54"/>
      <w:r>
        <w:rPr>
          <w:rFonts w:hint="eastAsia"/>
          <w:sz w:val="32"/>
        </w:rPr>
        <w:t>网</w:t>
      </w:r>
      <w:bookmarkEnd w:id="56"/>
    </w:p>
    <w:p>
      <w:pPr>
        <w:ind w:firstLine="640"/>
        <w:rPr>
          <w:sz w:val="32"/>
          <w:szCs w:val="32"/>
        </w:rPr>
      </w:pPr>
      <w:r>
        <w:rPr>
          <w:rFonts w:hint="eastAsia"/>
          <w:sz w:val="32"/>
          <w:szCs w:val="32"/>
        </w:rPr>
        <w:t>推动农村公路骨干路网提档升级，</w:t>
      </w:r>
      <w:r>
        <w:rPr>
          <w:sz w:val="32"/>
          <w:szCs w:val="32"/>
        </w:rPr>
        <w:t>构建便捷高效的农村公路骨干路网。</w:t>
      </w:r>
      <w:r>
        <w:rPr>
          <w:rFonts w:hint="eastAsia"/>
          <w:sz w:val="32"/>
          <w:szCs w:val="32"/>
        </w:rPr>
        <w:t>县道按照三级及以上公路建设标准，打通乡镇、主要经济节点对外快速通道，鼓励有条件的地区有序推动乡镇对外双通道建设。对不符合技术等级要求的农村公路，抓紧升级改造、尽快实现达标。</w:t>
      </w:r>
    </w:p>
    <w:p>
      <w:pPr>
        <w:ind w:firstLine="640"/>
        <w:rPr>
          <w:sz w:val="32"/>
          <w:szCs w:val="32"/>
        </w:rPr>
      </w:pPr>
      <w:r>
        <w:rPr>
          <w:sz w:val="32"/>
          <w:szCs w:val="32"/>
        </w:rPr>
        <w:t>进一步优化农村公路路网结构，构建“结构合理、层次分明、外联内畅”的农村公路网络体系。加强与国土空间、旅游发展、乡村建设、农村环境基础设施建设等规划有效衔接，依据“三区三线”划定成果和国土空间规划相关管控要求，统筹保障农村公路建设项目用地。建立健全项目库动态调整机制，坚持与乡村旅游、富民产业政策相融合，优先将省、市和美乡村及产业路、资源路、旅游路等联网路项目纳入建设项目库，形成谋划、储备、开工、建设、运营有机衔接、高效运行的良性循环。</w:t>
      </w:r>
    </w:p>
    <w:p>
      <w:pPr>
        <w:ind w:firstLine="640"/>
        <w:rPr>
          <w:sz w:val="32"/>
          <w:szCs w:val="32"/>
        </w:rPr>
      </w:pPr>
      <w:r>
        <w:rPr>
          <w:rFonts w:hint="eastAsia"/>
          <w:sz w:val="32"/>
          <w:szCs w:val="32"/>
        </w:rPr>
        <w:t>推进农村公路基础路网延伸完善，推动农村公路建设项目更多向进村入户倾斜，</w:t>
      </w:r>
      <w:r>
        <w:rPr>
          <w:sz w:val="32"/>
          <w:szCs w:val="32"/>
        </w:rPr>
        <w:t>加快实施“深通、联网、提档”工程。</w:t>
      </w:r>
      <w:r>
        <w:rPr>
          <w:rFonts w:hint="eastAsia"/>
          <w:sz w:val="32"/>
          <w:szCs w:val="32"/>
        </w:rPr>
        <w:t>统筹规划和实施农村公路穿村路段兼顾村内主干道功能，实施老旧公路改造以及过窄农村公路拓宽改造或错车道建设。</w:t>
      </w:r>
      <w:r>
        <w:rPr>
          <w:sz w:val="32"/>
          <w:szCs w:val="32"/>
        </w:rPr>
        <w:t>坚持因地制宜、实事求是，通双车道受限路段要根据地形、地貌、视距等因素灵活设置错车道。推动农村公路建设项目更多向进村入户倾斜，重点建设一批助力乡村振兴、连接经济节点、方便居民出行的农村公路基础设施项目。</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专栏6：升级全域覆盖的农村公路网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top w:val="single" w:color="000000" w:sz="4" w:space="0"/>
            </w:tcBorders>
            <w:shd w:val="clear" w:color="auto" w:fill="FFFFFF"/>
          </w:tcPr>
          <w:p>
            <w:pPr>
              <w:ind w:firstLine="560"/>
              <w:rPr>
                <w:szCs w:val="28"/>
              </w:rPr>
            </w:pPr>
            <w:r>
              <w:rPr>
                <w:rFonts w:hint="eastAsia"/>
                <w:szCs w:val="28"/>
              </w:rPr>
              <w:t>实施县乡道提档升级、联网路建设、危桥改造、农村公路养护工程。</w:t>
            </w:r>
          </w:p>
        </w:tc>
      </w:tr>
    </w:tbl>
    <w:p>
      <w:pPr>
        <w:ind w:firstLine="0" w:firstLineChars="0"/>
        <w:jc w:val="center"/>
        <w:rPr>
          <w:rFonts w:ascii="黑体" w:hAnsi="黑体" w:eastAsia="黑体" w:cs="黑体"/>
          <w:sz w:val="24"/>
        </w:rPr>
      </w:pPr>
    </w:p>
    <w:p>
      <w:pPr>
        <w:pStyle w:val="4"/>
        <w:tabs>
          <w:tab w:val="clear" w:pos="0"/>
        </w:tabs>
        <w:spacing w:before="312" w:beforeLines="100" w:after="312" w:afterLines="100"/>
        <w:rPr>
          <w:sz w:val="32"/>
        </w:rPr>
      </w:pPr>
      <w:bookmarkStart w:id="57" w:name="_Toc21619"/>
      <w:r>
        <w:rPr>
          <w:rFonts w:hint="eastAsia"/>
          <w:sz w:val="32"/>
        </w:rPr>
        <w:t>建设便捷融合的通用机场</w:t>
      </w:r>
      <w:bookmarkEnd w:id="57"/>
    </w:p>
    <w:p>
      <w:pPr>
        <w:ind w:firstLine="640"/>
        <w:rPr>
          <w:sz w:val="32"/>
          <w:szCs w:val="32"/>
        </w:rPr>
      </w:pPr>
      <w:r>
        <w:rPr>
          <w:rFonts w:hint="eastAsia"/>
          <w:sz w:val="32"/>
          <w:szCs w:val="32"/>
        </w:rPr>
        <w:t>推进谋划叶集通用机场项目，同步在姚李、姚李下骆山、三元、洪集谋划4个起降点。利用通用机场发展低空经济。通过”跨界融合、联动发展、文化带动“三大战略的实施，以“通航+运营”为增长点，以“通航+文旅”为依托，以航空教育培训、无人机物流等多元业态为补充，着力构建以“运营为主体、制造为重点、服务为延伸、文化有创意”的通用航空经济发展区。依托叶集通用机场，以中小型直升机为主，发展都市低空旅游。以飞艇、自由气球为主要航空器，开展农林业观光业务。借助机场设施、运营、服务及维修企业，发展机场内部观光游、飞机结构解剖游等工业旅游产品。开展形式多样的航空运动体验、航空运动职业技能大赛、航空飞行表演等活动。通过叶集通用机场，开展应急救援和城市功能保障，医疗救援、治安安保、交通治理、消防防护、交通摆渡等，医疗救援与医疗卫生相关，其他城市功能保障与警用航空相关。还可以开展从事工业、农业、林业、渔业和建筑业的作业飞行，以及气象探测、空中摄影、地形勘测、公共服务等方面的飞行活动。发展私人航空经济，开展公务和个人使用飞机业务，满足高端商务人士低时间成本出行的需求。</w:t>
      </w:r>
    </w:p>
    <w:p>
      <w:pPr>
        <w:pStyle w:val="4"/>
        <w:tabs>
          <w:tab w:val="clear" w:pos="0"/>
        </w:tabs>
        <w:spacing w:before="312" w:beforeLines="100" w:after="312" w:afterLines="100"/>
        <w:rPr>
          <w:sz w:val="32"/>
        </w:rPr>
      </w:pPr>
      <w:bookmarkStart w:id="58" w:name="_Toc16770"/>
      <w:r>
        <w:rPr>
          <w:rFonts w:hint="eastAsia"/>
          <w:sz w:val="32"/>
        </w:rPr>
        <w:t>构建高效衔接的水运新格局</w:t>
      </w:r>
      <w:bookmarkEnd w:id="58"/>
    </w:p>
    <w:p>
      <w:pPr>
        <w:ind w:firstLine="640"/>
        <w:rPr>
          <w:sz w:val="32"/>
          <w:szCs w:val="32"/>
        </w:rPr>
      </w:pPr>
      <w:r>
        <w:rPr>
          <w:rFonts w:hint="eastAsia"/>
          <w:sz w:val="32"/>
          <w:szCs w:val="32"/>
        </w:rPr>
        <w:t>加快补齐内河航道不畅、内河港口能力不足两大短板，谋划建设陈淋子港区（叶集作业区），提升港口集聚辐射能力和水运能力，促进叶集货物运输流通降本增效，发挥连淮通江区位优势。积极融入六安市“双通道达海、两运河入江、河江海联运”水运发展新格局，协同河南省固始县建设史河航道与港口作业区，畅通通江达海水运通道。</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专栏7：构建高效衔接的水运新格局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top w:val="single" w:color="000000" w:sz="4" w:space="0"/>
            </w:tcBorders>
            <w:shd w:val="clear" w:color="auto" w:fill="FFFFFF"/>
          </w:tcPr>
          <w:p>
            <w:pPr>
              <w:ind w:firstLine="602"/>
              <w:rPr>
                <w:sz w:val="30"/>
                <w:szCs w:val="30"/>
              </w:rPr>
            </w:pPr>
            <w:r>
              <w:rPr>
                <w:rFonts w:hint="eastAsia"/>
                <w:b/>
                <w:bCs/>
                <w:sz w:val="30"/>
                <w:szCs w:val="30"/>
              </w:rPr>
              <w:t>协同推进史河航道与陈淋子港口作业区前期工作</w:t>
            </w:r>
            <w:r>
              <w:rPr>
                <w:rFonts w:hint="eastAsia"/>
                <w:sz w:val="30"/>
                <w:szCs w:val="30"/>
              </w:rPr>
              <w:t>。</w:t>
            </w:r>
          </w:p>
          <w:p>
            <w:pPr>
              <w:ind w:firstLine="602"/>
              <w:rPr>
                <w:szCs w:val="28"/>
              </w:rPr>
            </w:pPr>
            <w:r>
              <w:rPr>
                <w:rFonts w:hint="eastAsia"/>
                <w:b/>
                <w:bCs/>
                <w:sz w:val="30"/>
                <w:szCs w:val="30"/>
              </w:rPr>
              <w:t>谋划推进叶集作业区综合码头建设可行性研究</w:t>
            </w:r>
            <w:r>
              <w:rPr>
                <w:rFonts w:hint="eastAsia"/>
                <w:sz w:val="30"/>
                <w:szCs w:val="30"/>
              </w:rPr>
              <w:t>。</w:t>
            </w:r>
          </w:p>
        </w:tc>
      </w:tr>
    </w:tbl>
    <w:p>
      <w:pPr>
        <w:pStyle w:val="3"/>
        <w:tabs>
          <w:tab w:val="left" w:pos="630"/>
          <w:tab w:val="clear" w:pos="0"/>
        </w:tabs>
        <w:spacing w:before="468" w:beforeLines="150" w:after="240"/>
        <w:rPr>
          <w:rFonts w:ascii="Times New Roman" w:hAnsi="Times New Roman"/>
          <w:sz w:val="32"/>
        </w:rPr>
      </w:pPr>
      <w:bookmarkStart w:id="59" w:name="_Toc22190"/>
      <w:bookmarkStart w:id="60" w:name="_Toc28859"/>
      <w:bookmarkStart w:id="61" w:name="_Toc23507"/>
      <w:r>
        <w:rPr>
          <w:rFonts w:hint="eastAsia" w:ascii="Times New Roman" w:hAnsi="Times New Roman"/>
          <w:sz w:val="32"/>
        </w:rPr>
        <w:t>持续提升综合运输服务水平</w:t>
      </w:r>
      <w:bookmarkEnd w:id="59"/>
      <w:bookmarkEnd w:id="60"/>
      <w:bookmarkEnd w:id="61"/>
    </w:p>
    <w:p>
      <w:pPr>
        <w:pStyle w:val="4"/>
        <w:tabs>
          <w:tab w:val="clear" w:pos="0"/>
        </w:tabs>
        <w:spacing w:before="312" w:beforeLines="100" w:after="312" w:afterLines="100"/>
        <w:rPr>
          <w:sz w:val="32"/>
        </w:rPr>
      </w:pPr>
      <w:bookmarkStart w:id="62" w:name="_Toc23320"/>
      <w:bookmarkStart w:id="63" w:name="_Toc11077"/>
      <w:r>
        <w:rPr>
          <w:rFonts w:hint="eastAsia"/>
          <w:sz w:val="32"/>
        </w:rPr>
        <w:t>构建便捷舒适的客运服务体系</w:t>
      </w:r>
      <w:bookmarkEnd w:id="62"/>
      <w:bookmarkEnd w:id="63"/>
    </w:p>
    <w:p>
      <w:pPr>
        <w:ind w:firstLine="643"/>
        <w:rPr>
          <w:rFonts w:ascii="仿宋" w:hAnsi="仿宋" w:eastAsia="仿宋"/>
          <w:b/>
          <w:bCs/>
          <w:sz w:val="32"/>
          <w:szCs w:val="32"/>
        </w:rPr>
      </w:pPr>
      <w:r>
        <w:rPr>
          <w:rFonts w:hint="eastAsia" w:ascii="仿宋" w:hAnsi="仿宋" w:eastAsia="仿宋"/>
          <w:b/>
          <w:bCs/>
          <w:sz w:val="32"/>
          <w:szCs w:val="32"/>
        </w:rPr>
        <w:t>1、继续推进城乡客运一体化</w:t>
      </w:r>
    </w:p>
    <w:p>
      <w:pPr>
        <w:ind w:firstLine="640"/>
        <w:rPr>
          <w:rFonts w:ascii="仿宋" w:hAnsi="仿宋" w:eastAsia="仿宋"/>
          <w:sz w:val="32"/>
          <w:szCs w:val="32"/>
        </w:rPr>
      </w:pPr>
      <w:r>
        <w:rPr>
          <w:rFonts w:hint="eastAsia" w:ascii="仿宋" w:hAnsi="仿宋" w:eastAsia="仿宋"/>
          <w:sz w:val="32"/>
          <w:szCs w:val="32"/>
        </w:rPr>
        <w:t>引导传统道路客运转型升级。响应道路客运发展新趋势，积极推行“五大新模式”：运输服务新模式、定价体制新模式、资源整合新模式、行业管理新模式、安全与服务监管新模式。</w:t>
      </w:r>
    </w:p>
    <w:p>
      <w:pPr>
        <w:ind w:firstLine="640"/>
        <w:rPr>
          <w:rFonts w:ascii="仿宋" w:hAnsi="仿宋" w:eastAsia="仿宋"/>
          <w:sz w:val="32"/>
          <w:szCs w:val="32"/>
        </w:rPr>
      </w:pPr>
      <w:r>
        <w:rPr>
          <w:rFonts w:hint="eastAsia" w:ascii="仿宋" w:hAnsi="仿宋" w:eastAsia="仿宋"/>
          <w:sz w:val="32"/>
          <w:szCs w:val="32"/>
        </w:rPr>
        <w:t>加强节假日的道路客运组织，提前做好增加班车的有关准备工作。</w:t>
      </w:r>
    </w:p>
    <w:p>
      <w:pPr>
        <w:ind w:firstLine="640"/>
        <w:rPr>
          <w:rFonts w:ascii="仿宋" w:hAnsi="仿宋" w:eastAsia="仿宋"/>
          <w:sz w:val="32"/>
          <w:szCs w:val="32"/>
        </w:rPr>
      </w:pPr>
      <w:r>
        <w:rPr>
          <w:rFonts w:hint="eastAsia" w:ascii="仿宋" w:hAnsi="仿宋" w:eastAsia="仿宋"/>
          <w:sz w:val="32"/>
          <w:szCs w:val="32"/>
        </w:rPr>
        <w:t>合理发展出行新业态，鼓励定制化通勤班车、社区公交、微循环公交等多元化的特色公交服务。充分利用大数据技术，开发叶集区智慧公交APP（或微信小程序），积极推进“互联网+”公交应用。</w:t>
      </w:r>
    </w:p>
    <w:p>
      <w:pPr>
        <w:ind w:firstLine="640"/>
        <w:rPr>
          <w:rFonts w:ascii="仿宋" w:hAnsi="仿宋" w:eastAsia="仿宋"/>
          <w:sz w:val="32"/>
          <w:szCs w:val="32"/>
        </w:rPr>
      </w:pPr>
      <w:r>
        <w:rPr>
          <w:rFonts w:hint="eastAsia" w:ascii="仿宋" w:hAnsi="仿宋" w:eastAsia="仿宋"/>
          <w:sz w:val="32"/>
          <w:szCs w:val="32"/>
        </w:rPr>
        <w:t>开通叶集至金寨东站的直达公交线路，开通叶集至至河南固始县黎集镇、段集镇的</w:t>
      </w:r>
      <w:r>
        <w:rPr>
          <w:rFonts w:hint="eastAsia"/>
          <w:sz w:val="32"/>
          <w:szCs w:val="32"/>
        </w:rPr>
        <w:t>省际</w:t>
      </w:r>
      <w:r>
        <w:rPr>
          <w:rFonts w:hint="eastAsia" w:ascii="仿宋" w:hAnsi="仿宋" w:eastAsia="仿宋"/>
          <w:sz w:val="32"/>
          <w:szCs w:val="32"/>
        </w:rPr>
        <w:t>毗邻公交线路，拓展省</w:t>
      </w:r>
      <w:r>
        <w:rPr>
          <w:rFonts w:hint="eastAsia"/>
          <w:sz w:val="32"/>
          <w:szCs w:val="32"/>
        </w:rPr>
        <w:t>际</w:t>
      </w:r>
      <w:r>
        <w:rPr>
          <w:rFonts w:hint="eastAsia" w:ascii="仿宋" w:hAnsi="仿宋" w:eastAsia="仿宋"/>
          <w:sz w:val="32"/>
          <w:szCs w:val="32"/>
        </w:rPr>
        <w:t>公交发展。</w:t>
      </w:r>
    </w:p>
    <w:p>
      <w:pPr>
        <w:ind w:firstLine="640"/>
        <w:rPr>
          <w:rFonts w:ascii="仿宋" w:hAnsi="仿宋" w:eastAsia="仿宋"/>
          <w:sz w:val="32"/>
          <w:szCs w:val="32"/>
        </w:rPr>
      </w:pPr>
      <w:r>
        <w:rPr>
          <w:rFonts w:hint="eastAsia" w:ascii="仿宋" w:hAnsi="仿宋" w:eastAsia="仿宋"/>
          <w:sz w:val="32"/>
          <w:szCs w:val="32"/>
        </w:rPr>
        <w:t>推进城乡客运一体化发展。探索实现“4个1”融合发展，实现城乡公交线网规划“一张图”，城乡居民出行共用“一张卡”、城乡公交运营调度“一个系统”、城乡公交服务质量“一个标准”。</w:t>
      </w:r>
    </w:p>
    <w:p>
      <w:pPr>
        <w:pStyle w:val="4"/>
        <w:tabs>
          <w:tab w:val="clear" w:pos="0"/>
        </w:tabs>
        <w:spacing w:before="312" w:beforeLines="100" w:after="312" w:afterLines="100"/>
        <w:rPr>
          <w:sz w:val="32"/>
        </w:rPr>
      </w:pPr>
      <w:bookmarkStart w:id="64" w:name="_Toc23181"/>
      <w:bookmarkStart w:id="65" w:name="_Toc1782"/>
      <w:r>
        <w:rPr>
          <w:rFonts w:hint="eastAsia"/>
          <w:sz w:val="32"/>
        </w:rPr>
        <w:t>构建经济高效的货运物流体系</w:t>
      </w:r>
      <w:bookmarkEnd w:id="64"/>
      <w:bookmarkEnd w:id="65"/>
    </w:p>
    <w:p>
      <w:pPr>
        <w:ind w:firstLine="643"/>
        <w:jc w:val="left"/>
        <w:rPr>
          <w:rFonts w:ascii="仿宋" w:hAnsi="仿宋" w:eastAsia="仿宋"/>
          <w:b/>
          <w:bCs/>
          <w:sz w:val="32"/>
          <w:szCs w:val="28"/>
        </w:rPr>
      </w:pPr>
      <w:r>
        <w:rPr>
          <w:rFonts w:hint="eastAsia" w:ascii="仿宋" w:hAnsi="仿宋" w:eastAsia="仿宋"/>
          <w:b/>
          <w:bCs/>
          <w:sz w:val="32"/>
          <w:szCs w:val="28"/>
        </w:rPr>
        <w:t>1、发展现代化专业物流</w:t>
      </w:r>
    </w:p>
    <w:p>
      <w:pPr>
        <w:ind w:firstLine="640"/>
        <w:jc w:val="left"/>
        <w:rPr>
          <w:sz w:val="32"/>
          <w:szCs w:val="32"/>
        </w:rPr>
      </w:pPr>
      <w:r>
        <w:rPr>
          <w:rFonts w:hint="eastAsia" w:ascii="仿宋" w:hAnsi="仿宋" w:eastAsia="仿宋"/>
          <w:sz w:val="32"/>
          <w:szCs w:val="32"/>
        </w:rPr>
        <w:t>结合</w:t>
      </w:r>
      <w:r>
        <w:rPr>
          <w:rFonts w:hint="eastAsia"/>
          <w:sz w:val="32"/>
          <w:szCs w:val="32"/>
        </w:rPr>
        <w:t>G312公路服务区建设，</w:t>
      </w:r>
      <w:r>
        <w:rPr>
          <w:rFonts w:hint="eastAsia" w:ascii="仿宋" w:hAnsi="仿宋" w:eastAsia="仿宋"/>
          <w:sz w:val="32"/>
          <w:szCs w:val="32"/>
        </w:rPr>
        <w:t>大力推进叶集区货运物流发展。</w:t>
      </w:r>
      <w:r>
        <w:rPr>
          <w:rFonts w:hint="eastAsia"/>
          <w:sz w:val="32"/>
          <w:szCs w:val="32"/>
        </w:rPr>
        <w:t>发展多式联运，完善物流基础设施网络，培育壮大物流企业，提高物流服务效率和水平，推动现代物流与本地产业深度融合。</w:t>
      </w:r>
    </w:p>
    <w:p>
      <w:pPr>
        <w:ind w:firstLine="643"/>
        <w:jc w:val="left"/>
        <w:rPr>
          <w:rFonts w:ascii="仿宋" w:hAnsi="仿宋" w:eastAsia="仿宋"/>
          <w:b/>
          <w:bCs/>
          <w:sz w:val="32"/>
          <w:szCs w:val="28"/>
        </w:rPr>
      </w:pPr>
      <w:r>
        <w:rPr>
          <w:rFonts w:hint="eastAsia" w:ascii="仿宋" w:hAnsi="仿宋" w:eastAsia="仿宋"/>
          <w:b/>
          <w:bCs/>
          <w:sz w:val="32"/>
          <w:szCs w:val="28"/>
        </w:rPr>
        <w:t>2、推进客货邮融合发展</w:t>
      </w:r>
    </w:p>
    <w:p>
      <w:pPr>
        <w:ind w:firstLine="640"/>
        <w:jc w:val="left"/>
        <w:rPr>
          <w:rFonts w:ascii="仿宋" w:hAnsi="仿宋" w:eastAsia="仿宋"/>
          <w:sz w:val="32"/>
          <w:szCs w:val="28"/>
        </w:rPr>
      </w:pPr>
      <w:r>
        <w:rPr>
          <w:rFonts w:hint="eastAsia" w:ascii="仿宋" w:hAnsi="仿宋" w:eastAsia="仿宋"/>
          <w:sz w:val="32"/>
          <w:szCs w:val="28"/>
        </w:rPr>
        <w:t>根据交通运输部、国家邮政局等八部门联合印发《关于加快推进农村客货邮融合发展的指导意见》，“十五五”期间，加强叶集区“客货邮”一体化运输。</w:t>
      </w:r>
    </w:p>
    <w:p>
      <w:pPr>
        <w:ind w:firstLine="640"/>
        <w:jc w:val="left"/>
        <w:rPr>
          <w:rFonts w:ascii="仿宋" w:hAnsi="仿宋" w:eastAsia="仿宋"/>
          <w:sz w:val="32"/>
          <w:szCs w:val="28"/>
        </w:rPr>
      </w:pPr>
      <w:r>
        <w:rPr>
          <w:rFonts w:hint="eastAsia" w:ascii="仿宋" w:hAnsi="仿宋" w:eastAsia="仿宋"/>
          <w:sz w:val="32"/>
          <w:szCs w:val="28"/>
        </w:rPr>
        <w:t>力争到2030年，具备条件的行政村实现农村客货邮融合发展，基本建成“一点多能、一网多用、功能集约、便利高效”的农村运输服务新模式。</w:t>
      </w:r>
    </w:p>
    <w:p>
      <w:pPr>
        <w:ind w:firstLine="640"/>
        <w:jc w:val="left"/>
        <w:rPr>
          <w:rFonts w:ascii="仿宋" w:hAnsi="仿宋" w:eastAsia="仿宋"/>
          <w:sz w:val="32"/>
          <w:szCs w:val="28"/>
        </w:rPr>
      </w:pPr>
      <w:r>
        <w:rPr>
          <w:rFonts w:hint="eastAsia" w:ascii="仿宋" w:hAnsi="仿宋" w:eastAsia="仿宋"/>
          <w:sz w:val="32"/>
          <w:szCs w:val="28"/>
        </w:rPr>
        <w:t>一是打造因地制宜的农村客货邮融合发展形式，推广农村客运车辆代运邮件快件、发展货运班车，并在此基础上拓展“农村客货邮+电商、旅游、农业”等发展形式。</w:t>
      </w:r>
    </w:p>
    <w:p>
      <w:pPr>
        <w:ind w:firstLine="640"/>
        <w:jc w:val="left"/>
        <w:rPr>
          <w:rFonts w:ascii="仿宋" w:hAnsi="仿宋" w:eastAsia="仿宋"/>
          <w:sz w:val="32"/>
          <w:szCs w:val="28"/>
        </w:rPr>
      </w:pPr>
      <w:r>
        <w:rPr>
          <w:rFonts w:hint="eastAsia" w:ascii="仿宋" w:hAnsi="仿宋" w:eastAsia="仿宋"/>
          <w:sz w:val="32"/>
          <w:szCs w:val="28"/>
        </w:rPr>
        <w:t>二是建设“一点多能”的农村客货邮融合发展站点。构建县乡村三级站点体系，启动运营区级寄递物流共配中心，力争推进统一仓储、统一分拣、统一配送；拓展乡镇站点综合服务功能，增强上接县、下联村的集散中转服务能力；完善村级站点网络，打造“一站式”村级站点。</w:t>
      </w:r>
    </w:p>
    <w:p>
      <w:pPr>
        <w:ind w:firstLine="640"/>
        <w:jc w:val="left"/>
        <w:rPr>
          <w:rFonts w:ascii="仿宋" w:hAnsi="仿宋" w:eastAsia="仿宋"/>
          <w:sz w:val="32"/>
          <w:szCs w:val="28"/>
        </w:rPr>
      </w:pPr>
      <w:r>
        <w:rPr>
          <w:rFonts w:hint="eastAsia" w:ascii="仿宋" w:hAnsi="仿宋" w:eastAsia="仿宋"/>
          <w:sz w:val="32"/>
          <w:szCs w:val="28"/>
        </w:rPr>
        <w:t>三是推广安全可靠的农村客货邮融合发展装备。推广农村客货邮融合发展适配车型，应用标准化智能化绿色化装备设备，鼓励应用自动化分拣、装载、运输等设备，提升服务效率。</w:t>
      </w:r>
    </w:p>
    <w:p>
      <w:pPr>
        <w:ind w:firstLine="640"/>
        <w:jc w:val="left"/>
        <w:rPr>
          <w:rFonts w:ascii="仿宋" w:hAnsi="仿宋" w:eastAsia="仿宋"/>
          <w:sz w:val="32"/>
          <w:szCs w:val="28"/>
        </w:rPr>
      </w:pPr>
      <w:r>
        <w:rPr>
          <w:rFonts w:hint="eastAsia" w:ascii="仿宋" w:hAnsi="仿宋" w:eastAsia="仿宋"/>
          <w:sz w:val="32"/>
          <w:szCs w:val="28"/>
        </w:rPr>
        <w:t>四是健全规范有序的农村客货邮融合发展服务体系。规范农村客货邮作业流程，提升农村客货邮服务质量，强化农村客货邮安全管理。</w:t>
      </w:r>
    </w:p>
    <w:p>
      <w:pPr>
        <w:ind w:firstLine="640"/>
        <w:jc w:val="left"/>
        <w:rPr>
          <w:rFonts w:ascii="仿宋" w:hAnsi="仿宋" w:eastAsia="仿宋"/>
          <w:sz w:val="32"/>
          <w:szCs w:val="28"/>
        </w:rPr>
      </w:pPr>
      <w:r>
        <w:rPr>
          <w:rFonts w:hint="eastAsia" w:ascii="仿宋" w:hAnsi="仿宋" w:eastAsia="仿宋"/>
          <w:sz w:val="32"/>
          <w:szCs w:val="28"/>
        </w:rPr>
        <w:t>五是完善合</w:t>
      </w:r>
      <w:bookmarkStart w:id="66" w:name="OLE_LINK1"/>
      <w:r>
        <w:rPr>
          <w:rFonts w:hint="eastAsia" w:ascii="仿宋" w:hAnsi="仿宋" w:eastAsia="仿宋"/>
          <w:sz w:val="32"/>
          <w:szCs w:val="28"/>
        </w:rPr>
        <w:t>作共享的农</w:t>
      </w:r>
      <w:bookmarkEnd w:id="66"/>
      <w:r>
        <w:rPr>
          <w:rFonts w:hint="eastAsia" w:ascii="仿宋" w:hAnsi="仿宋" w:eastAsia="仿宋"/>
          <w:sz w:val="32"/>
          <w:szCs w:val="28"/>
        </w:rPr>
        <w:t>村客货邮融合发展机制。推动形成政府牵头，多部门参与的工作机制，积极推进市场主体整合，加强农村客运、货运物流、邮政和快递信息互联共享。</w:t>
      </w:r>
    </w:p>
    <w:p>
      <w:pPr>
        <w:ind w:firstLine="643"/>
        <w:jc w:val="left"/>
        <w:rPr>
          <w:rFonts w:ascii="仿宋" w:hAnsi="仿宋" w:eastAsia="仿宋"/>
          <w:b/>
          <w:bCs/>
          <w:sz w:val="32"/>
          <w:szCs w:val="28"/>
        </w:rPr>
      </w:pPr>
      <w:r>
        <w:rPr>
          <w:rFonts w:hint="eastAsia" w:ascii="仿宋" w:hAnsi="仿宋" w:eastAsia="仿宋"/>
          <w:b/>
          <w:bCs/>
          <w:sz w:val="32"/>
          <w:szCs w:val="28"/>
        </w:rPr>
        <w:t>3、继续加强农村物流与邮政业发展</w:t>
      </w:r>
    </w:p>
    <w:p>
      <w:pPr>
        <w:ind w:firstLine="640"/>
        <w:jc w:val="left"/>
        <w:rPr>
          <w:rFonts w:ascii="仿宋" w:hAnsi="仿宋" w:eastAsia="仿宋"/>
          <w:sz w:val="32"/>
          <w:szCs w:val="28"/>
        </w:rPr>
      </w:pPr>
      <w:r>
        <w:rPr>
          <w:rFonts w:hint="eastAsia" w:ascii="仿宋" w:hAnsi="仿宋" w:eastAsia="仿宋"/>
          <w:sz w:val="32"/>
          <w:szCs w:val="28"/>
        </w:rPr>
        <w:t>2030年形成布局合理、功能完善、便捷高效、绿色环保的客货邮融合发展新格局，全面支撑乡村振兴和城乡一体化发展，客货邮线路力争覆盖乡镇数量占比达到100%。“十五五”期间将试点建设村级客货邮综合服务点，初步建立客货邮协同发展机制。</w:t>
      </w:r>
    </w:p>
    <w:p>
      <w:pPr>
        <w:ind w:firstLine="640"/>
        <w:jc w:val="left"/>
        <w:rPr>
          <w:rFonts w:ascii="仿宋" w:hAnsi="仿宋" w:eastAsia="仿宋"/>
          <w:sz w:val="32"/>
          <w:szCs w:val="28"/>
        </w:rPr>
      </w:pPr>
      <w:r>
        <w:rPr>
          <w:rFonts w:hint="eastAsia" w:ascii="仿宋" w:hAnsi="仿宋" w:eastAsia="仿宋"/>
          <w:sz w:val="32"/>
          <w:szCs w:val="28"/>
        </w:rPr>
        <w:t>建设村级客货邮综合服务点。按照“多站合一、一站多用”的原则，利用农村现有超市、便利店、村委会等场所，建设村级客货邮综合服务点。村级综合服务点具备邮件快件代收代发、货物配送、农产品收购、便民服务等功能，打通农村物流“最后一公里”。</w:t>
      </w:r>
    </w:p>
    <w:p>
      <w:pPr>
        <w:ind w:firstLine="640"/>
        <w:jc w:val="left"/>
        <w:rPr>
          <w:rFonts w:ascii="仿宋" w:hAnsi="仿宋" w:eastAsia="仿宋"/>
          <w:sz w:val="32"/>
          <w:szCs w:val="28"/>
        </w:rPr>
      </w:pPr>
      <w:r>
        <w:rPr>
          <w:rFonts w:hint="eastAsia" w:ascii="仿宋" w:hAnsi="仿宋" w:eastAsia="仿宋"/>
          <w:sz w:val="32"/>
          <w:szCs w:val="28"/>
        </w:rPr>
        <w:t>开展客货邮合作线路试点。选取客流量较大、物流需求旺盛的客运线路，开展客货邮合作线路试点。通过在客运班车上搭载邮件快件和小件货物，实现客运、货运、邮政快递协同配送。</w:t>
      </w:r>
    </w:p>
    <w:p>
      <w:pPr>
        <w:ind w:firstLine="640"/>
        <w:jc w:val="left"/>
        <w:rPr>
          <w:rFonts w:ascii="仿宋" w:hAnsi="仿宋" w:eastAsia="仿宋"/>
          <w:sz w:val="32"/>
          <w:szCs w:val="28"/>
        </w:rPr>
      </w:pPr>
      <w:r>
        <w:rPr>
          <w:rFonts w:hint="eastAsia" w:ascii="仿宋" w:hAnsi="仿宋" w:eastAsia="仿宋"/>
          <w:sz w:val="32"/>
          <w:szCs w:val="28"/>
        </w:rPr>
        <w:t>建立城乡配送体系。以叶集区寄递物流共配中心为区级节点，以乡镇综合运输服务站为中转，以村级客货邮综合服务点为终端，建立区、乡镇、建制村三级城乡配送体系。整合物流企业、快递企业、电商企业等配送资源，优化配送路线，提高配送效率，降低配送成本。</w:t>
      </w:r>
    </w:p>
    <w:p>
      <w:pPr>
        <w:ind w:firstLine="643"/>
        <w:jc w:val="left"/>
        <w:rPr>
          <w:rFonts w:ascii="仿宋" w:hAnsi="仿宋" w:eastAsia="仿宋"/>
          <w:b/>
          <w:bCs/>
          <w:sz w:val="32"/>
          <w:szCs w:val="28"/>
        </w:rPr>
      </w:pPr>
      <w:r>
        <w:rPr>
          <w:rFonts w:hint="eastAsia" w:ascii="仿宋" w:hAnsi="仿宋" w:eastAsia="仿宋"/>
          <w:b/>
          <w:bCs/>
          <w:sz w:val="32"/>
          <w:szCs w:val="28"/>
        </w:rPr>
        <w:t>4、探索省级毗邻地区邮政一体化发展机制</w:t>
      </w:r>
    </w:p>
    <w:p>
      <w:pPr>
        <w:ind w:firstLine="640"/>
        <w:jc w:val="left"/>
        <w:rPr>
          <w:rFonts w:ascii="仿宋" w:hAnsi="仿宋" w:eastAsia="仿宋"/>
          <w:sz w:val="32"/>
          <w:szCs w:val="28"/>
        </w:rPr>
      </w:pPr>
      <w:r>
        <w:rPr>
          <w:rFonts w:hint="eastAsia" w:ascii="仿宋" w:hAnsi="仿宋" w:eastAsia="仿宋"/>
          <w:sz w:val="32"/>
          <w:szCs w:val="28"/>
        </w:rPr>
        <w:t>针对当前叶集区人口少，邮件数量少，难以升级为一级邮区中心局的现状。探索将叶集毗邻地区（如固始县祖师庙镇、黎集镇、武庙集镇、段集镇等）的邮件统一由叶集邮政中心局分拣、封发和派送。提高叶集区的处理邮件数量，减少邮件中转次数，提高快递送达效率。</w:t>
      </w:r>
    </w:p>
    <w:p>
      <w:pPr>
        <w:pStyle w:val="3"/>
        <w:tabs>
          <w:tab w:val="left" w:pos="630"/>
          <w:tab w:val="clear" w:pos="0"/>
        </w:tabs>
        <w:spacing w:before="468" w:beforeLines="150" w:after="240"/>
        <w:rPr>
          <w:rFonts w:ascii="Times New Roman" w:hAnsi="Times New Roman"/>
          <w:sz w:val="32"/>
        </w:rPr>
      </w:pPr>
      <w:bookmarkStart w:id="67" w:name="_Toc29985"/>
      <w:bookmarkStart w:id="68" w:name="_Toc13228"/>
      <w:bookmarkStart w:id="69" w:name="_Toc27793"/>
      <w:r>
        <w:rPr>
          <w:rFonts w:hint="eastAsia" w:ascii="Times New Roman" w:hAnsi="Times New Roman"/>
          <w:sz w:val="32"/>
        </w:rPr>
        <w:t>智慧引领交通运输转型升级</w:t>
      </w:r>
      <w:bookmarkEnd w:id="67"/>
      <w:bookmarkEnd w:id="68"/>
      <w:bookmarkEnd w:id="69"/>
    </w:p>
    <w:p>
      <w:pPr>
        <w:pStyle w:val="4"/>
        <w:tabs>
          <w:tab w:val="clear" w:pos="0"/>
        </w:tabs>
        <w:spacing w:before="312" w:beforeLines="100" w:after="312" w:afterLines="100"/>
        <w:rPr>
          <w:sz w:val="32"/>
        </w:rPr>
      </w:pPr>
      <w:bookmarkStart w:id="70" w:name="_Toc11468"/>
      <w:r>
        <w:rPr>
          <w:rFonts w:hint="eastAsia"/>
          <w:sz w:val="32"/>
        </w:rPr>
        <w:t>大力推进智慧交通设施建设</w:t>
      </w:r>
      <w:bookmarkEnd w:id="70"/>
    </w:p>
    <w:p>
      <w:pPr>
        <w:ind w:firstLine="640"/>
        <w:jc w:val="left"/>
        <w:rPr>
          <w:rFonts w:ascii="仿宋" w:hAnsi="仿宋" w:eastAsia="仿宋"/>
          <w:sz w:val="32"/>
          <w:szCs w:val="32"/>
        </w:rPr>
      </w:pPr>
      <w:r>
        <w:rPr>
          <w:rFonts w:hint="eastAsia" w:ascii="仿宋" w:hAnsi="仿宋" w:eastAsia="仿宋"/>
          <w:sz w:val="32"/>
          <w:szCs w:val="32"/>
        </w:rPr>
        <w:t>推动智慧交通设施改造，抓住产业数字化、数字产业化赋予的机遇，加快5G网络、数据中心等新型基础设施建设，推动数字产业化、产业数字化、城市数字化“三化融合”。发展智慧交通设施，对新建项目，将采集设备、传输网络等信息基础设施纳入工程建设内容，实现同步规划、同步设计、同步建设、同步运维。</w:t>
      </w:r>
    </w:p>
    <w:p>
      <w:pPr>
        <w:ind w:firstLine="640"/>
        <w:jc w:val="left"/>
        <w:rPr>
          <w:rFonts w:ascii="仿宋" w:hAnsi="仿宋" w:eastAsia="仿宋"/>
          <w:sz w:val="32"/>
          <w:szCs w:val="32"/>
        </w:rPr>
      </w:pPr>
      <w:r>
        <w:rPr>
          <w:rFonts w:hint="eastAsia" w:ascii="仿宋" w:hAnsi="仿宋" w:eastAsia="仿宋"/>
          <w:sz w:val="32"/>
          <w:szCs w:val="32"/>
        </w:rPr>
        <w:t>智慧公路建设方面，将采集设备、无线通信、边缘计算等信息基础设施纳入交通工程建设内容，推动公路智能建造和智慧工地建设，促进BIM设计成果向施工传递并转化为施工应用系统，通过数字化模拟施工工艺、优化施工组织。</w:t>
      </w:r>
    </w:p>
    <w:p>
      <w:pPr>
        <w:ind w:firstLine="640"/>
        <w:jc w:val="left"/>
        <w:rPr>
          <w:rFonts w:ascii="仿宋" w:hAnsi="仿宋" w:eastAsia="仿宋"/>
          <w:sz w:val="32"/>
          <w:szCs w:val="32"/>
        </w:rPr>
      </w:pPr>
      <w:r>
        <w:rPr>
          <w:rFonts w:hint="eastAsia" w:ascii="仿宋" w:hAnsi="仿宋" w:eastAsia="仿宋"/>
          <w:sz w:val="32"/>
          <w:szCs w:val="32"/>
        </w:rPr>
        <w:t>推进农村地区交通安全精细化提升。在农村道路重点路段安装视频、测速等交通技术监控设备，开展视频巡逻、重点违法缉查工作。</w:t>
      </w:r>
    </w:p>
    <w:p>
      <w:pPr>
        <w:ind w:firstLine="640"/>
        <w:jc w:val="left"/>
        <w:rPr>
          <w:rFonts w:ascii="仿宋" w:hAnsi="仿宋" w:eastAsia="仿宋"/>
          <w:sz w:val="32"/>
          <w:szCs w:val="32"/>
        </w:rPr>
      </w:pPr>
      <w:r>
        <w:rPr>
          <w:rFonts w:hint="eastAsia" w:ascii="仿宋" w:hAnsi="仿宋" w:eastAsia="仿宋"/>
          <w:sz w:val="32"/>
          <w:szCs w:val="32"/>
        </w:rPr>
        <w:t>提升行业数智治理水平。依托大数据技术，加快推进综合交通运输体系互联互通的重要载体，提升交通运输行业治理能力和服务水平，有效提升行业数智治理水平。</w:t>
      </w:r>
    </w:p>
    <w:p>
      <w:pPr>
        <w:pStyle w:val="4"/>
        <w:tabs>
          <w:tab w:val="clear" w:pos="0"/>
        </w:tabs>
        <w:spacing w:before="312" w:beforeLines="100" w:after="312" w:afterLines="100"/>
        <w:rPr>
          <w:sz w:val="32"/>
        </w:rPr>
      </w:pPr>
      <w:bookmarkStart w:id="71" w:name="_Toc21237"/>
      <w:r>
        <w:rPr>
          <w:rFonts w:hint="eastAsia"/>
          <w:sz w:val="32"/>
        </w:rPr>
        <w:t>稳步提升公路养护管理数字化水平</w:t>
      </w:r>
      <w:bookmarkEnd w:id="71"/>
    </w:p>
    <w:p>
      <w:pPr>
        <w:ind w:firstLine="640"/>
        <w:jc w:val="left"/>
        <w:rPr>
          <w:rFonts w:ascii="仿宋" w:hAnsi="仿宋" w:eastAsia="仿宋"/>
          <w:sz w:val="32"/>
          <w:szCs w:val="28"/>
        </w:rPr>
      </w:pPr>
      <w:r>
        <w:rPr>
          <w:rFonts w:hint="eastAsia" w:ascii="仿宋" w:hAnsi="仿宋" w:eastAsia="仿宋"/>
          <w:sz w:val="32"/>
          <w:szCs w:val="28"/>
        </w:rPr>
        <w:t>依托建设期BIM数据、历史数据等，并应用先进测量与快速建模等技术，结合既有养护系统以及养护大中修工程、改扩建工程等，推进公路资产数字化，重点完善地理信息、线形指标、安全设施、服务设施等信息，推广在线巡检、设施监测、防灾应急等场景应用，提升路况检测能力，逐步实现数据信息现场采集、填报，加强基于数字技术的养护评价、预测、决策等算法模型研究应用，优先构建基层路网智慧养护平台。鼓励养护与改造工程应用数字化技术。探索特殊路段限速、限载、限高等重要标志数字化联动预警，为精准实时导航、车路协同、自动驾驶等提供支撑。</w:t>
      </w:r>
    </w:p>
    <w:p>
      <w:pPr>
        <w:ind w:firstLine="643"/>
        <w:jc w:val="left"/>
        <w:rPr>
          <w:rFonts w:ascii="仿宋" w:hAnsi="仿宋" w:eastAsia="仿宋"/>
          <w:sz w:val="32"/>
          <w:szCs w:val="28"/>
        </w:rPr>
      </w:pPr>
      <w:r>
        <w:rPr>
          <w:rFonts w:hint="eastAsia" w:ascii="仿宋" w:hAnsi="仿宋" w:eastAsia="仿宋"/>
          <w:b/>
          <w:bCs/>
          <w:sz w:val="32"/>
          <w:szCs w:val="28"/>
        </w:rPr>
        <w:t>构建农村公路数字化综合监管体系。</w:t>
      </w:r>
      <w:r>
        <w:rPr>
          <w:rFonts w:hint="eastAsia" w:ascii="仿宋" w:hAnsi="仿宋" w:eastAsia="仿宋"/>
          <w:sz w:val="32"/>
          <w:szCs w:val="28"/>
        </w:rPr>
        <w:t>应用建设期资料和相关数据资源，结合日常巡检和路况检测、数字扫描和快速建模等技术，逐步推进农村公路数字化，完善基础设施数据库、高质量发展评价体系和养护管理数字化系统，构建农村公路数字化综合监管体系，实现农村公路“一张图”管理。</w:t>
      </w:r>
    </w:p>
    <w:p>
      <w:pPr>
        <w:pStyle w:val="4"/>
        <w:tabs>
          <w:tab w:val="clear" w:pos="0"/>
        </w:tabs>
        <w:spacing w:before="312" w:beforeLines="100" w:after="312" w:afterLines="100"/>
        <w:rPr>
          <w:sz w:val="32"/>
        </w:rPr>
      </w:pPr>
      <w:bookmarkStart w:id="72" w:name="_Toc3799"/>
      <w:r>
        <w:rPr>
          <w:rFonts w:hint="eastAsia"/>
          <w:sz w:val="32"/>
        </w:rPr>
        <w:t>大力提升交通运输综合执法智慧化水平</w:t>
      </w:r>
      <w:bookmarkEnd w:id="72"/>
    </w:p>
    <w:p>
      <w:pPr>
        <w:ind w:firstLine="640"/>
        <w:jc w:val="left"/>
        <w:rPr>
          <w:sz w:val="32"/>
          <w:szCs w:val="28"/>
        </w:rPr>
      </w:pPr>
      <w:r>
        <w:rPr>
          <w:rFonts w:hint="eastAsia"/>
          <w:sz w:val="32"/>
          <w:szCs w:val="28"/>
        </w:rPr>
        <w:t>到“十五五”期末，交通运输执法领域突出问题整治效果持续巩固和拓展，执法为民理念深入人心、有效践行，行政执法队伍素质能力明显提升，风清气正的执法环境加快形成，人民群众满意度大幅提升，执法工作服务保障交通运输高质量发展的作用得到更好发挥。</w:t>
      </w:r>
    </w:p>
    <w:p>
      <w:pPr>
        <w:ind w:firstLine="640"/>
        <w:jc w:val="left"/>
        <w:rPr>
          <w:sz w:val="32"/>
          <w:szCs w:val="28"/>
        </w:rPr>
      </w:pPr>
      <w:r>
        <w:rPr>
          <w:rFonts w:hint="eastAsia"/>
          <w:sz w:val="32"/>
          <w:szCs w:val="28"/>
        </w:rPr>
        <w:t>进一步深化以“基层执法队伍职业化、基层执法站所标准化、基础管理制度规范化、基层执法工作信息化”为内容的“四基四化”建设，全面夯实基层基础基本功。此外，立足服务人民群众、服务中心工作，把执法工作放在优化营商环境、维护行业安全稳定、推动高质量发展的大局中去定位和谋划，促进执法与业务相融合，切实发挥好执法的服务保障作用。</w:t>
      </w:r>
    </w:p>
    <w:p>
      <w:pPr>
        <w:ind w:firstLine="640"/>
        <w:jc w:val="left"/>
        <w:rPr>
          <w:sz w:val="32"/>
          <w:szCs w:val="28"/>
        </w:rPr>
      </w:pPr>
      <w:r>
        <w:rPr>
          <w:rFonts w:hint="eastAsia"/>
          <w:sz w:val="32"/>
          <w:szCs w:val="28"/>
        </w:rPr>
        <w:t>提高科技治超水平，结合G105、G632等国省道新改建契机，加强非现场治超卡点建设，破解传统治超“人海战术”效率低、覆盖面窄、执法风险高的难题，推动治超工作从“路面巡查为主”向“科技监管为主、现场执法为辅”转变，全面提升治超治理体系和治理能力现代化水平，切实保障公路基础设施安全、维护道路运输市场秩序、减少道路交通安全事故。</w:t>
      </w:r>
    </w:p>
    <w:p>
      <w:pPr>
        <w:ind w:firstLine="640"/>
        <w:jc w:val="left"/>
        <w:rPr>
          <w:sz w:val="32"/>
          <w:szCs w:val="28"/>
        </w:rPr>
      </w:pPr>
      <w:r>
        <w:rPr>
          <w:rFonts w:hint="eastAsia"/>
          <w:sz w:val="32"/>
          <w:szCs w:val="28"/>
        </w:rPr>
        <w:t>以科技赋能为核心，以非现场治超卡点建设为抓手，构建“全域覆盖、智能感知、数据协同、闭环管控”的科技治超体系。通过五年时间，实现重点货运通道非现场治超卡点全覆盖，超限超载识别准确率提升；形成“监测-预警-处罚-整改-溯源”全流程闭环管理机制，重点路段货车超限率控制在更低范围以内，涉货道路交通事故发生率下降，推动货运行业规范化、健康化发展。</w:t>
      </w:r>
    </w:p>
    <w:p>
      <w:pPr>
        <w:pStyle w:val="3"/>
        <w:tabs>
          <w:tab w:val="left" w:pos="630"/>
          <w:tab w:val="clear" w:pos="0"/>
        </w:tabs>
        <w:spacing w:before="468" w:beforeLines="150" w:after="240"/>
        <w:rPr>
          <w:rFonts w:ascii="Times New Roman" w:hAnsi="Times New Roman"/>
          <w:sz w:val="32"/>
        </w:rPr>
      </w:pPr>
      <w:bookmarkStart w:id="73" w:name="_Toc26447"/>
      <w:r>
        <w:rPr>
          <w:rFonts w:hint="eastAsia" w:ascii="Times New Roman" w:hAnsi="Times New Roman"/>
          <w:sz w:val="32"/>
        </w:rPr>
        <w:t>加快推进毗邻协同交通发展</w:t>
      </w:r>
      <w:bookmarkEnd w:id="73"/>
    </w:p>
    <w:p>
      <w:pPr>
        <w:ind w:firstLine="640"/>
        <w:jc w:val="left"/>
        <w:rPr>
          <w:sz w:val="32"/>
          <w:szCs w:val="28"/>
        </w:rPr>
      </w:pPr>
      <w:r>
        <w:rPr>
          <w:rFonts w:hint="eastAsia"/>
          <w:sz w:val="32"/>
          <w:szCs w:val="28"/>
        </w:rPr>
        <w:t>立足皖豫交界及大别山北麓地域相连、人缘相亲的优势，以差异化合作为路径，突出优势互补，加强叶集区与固始县、金寨县深化协同发展，共同书写革命老区振兴新篇章。</w:t>
      </w:r>
    </w:p>
    <w:p>
      <w:pPr>
        <w:ind w:firstLine="640"/>
        <w:jc w:val="left"/>
        <w:rPr>
          <w:sz w:val="32"/>
          <w:szCs w:val="32"/>
        </w:rPr>
      </w:pPr>
      <w:r>
        <w:rPr>
          <w:rFonts w:hint="eastAsia"/>
          <w:sz w:val="32"/>
          <w:szCs w:val="28"/>
        </w:rPr>
        <w:t>深化省际毗邻合作。加快叶集—固始“一河两岸”生态优先绿色发展产业合作区建设，深化载体共建、产业共育、要素共用、体制共塑、成果共享，推动与固始合作从项目协同迈向一体化制度创新。加快基础设施互联，实施G632皖豫两省畅通工程叶集至固始段等项目建设，推进</w:t>
      </w:r>
      <w:r>
        <w:rPr>
          <w:rFonts w:hint="eastAsia"/>
          <w:sz w:val="32"/>
          <w:szCs w:val="32"/>
        </w:rPr>
        <w:t>S437叶集段皖豫省际毗邻合作、S439叶集段皖豫省际毗邻合作等项目前期工作，配合固始县建设史</w:t>
      </w:r>
      <w:r>
        <w:rPr>
          <w:rFonts w:hint="eastAsia"/>
          <w:sz w:val="32"/>
          <w:szCs w:val="28"/>
        </w:rPr>
        <w:t>河湾大桥项目，启动史河航道前期</w:t>
      </w:r>
      <w:r>
        <w:rPr>
          <w:rFonts w:hint="eastAsia"/>
          <w:sz w:val="32"/>
          <w:szCs w:val="32"/>
        </w:rPr>
        <w:t>工作，协同推进史河航道与陈淋子港口作业区前期工作，大力推进叶集作业区综合码头建设可行性研究。争取开通叶集至至河南固始县黎集镇、段集镇的省际毗邻公交线路，拓展省际公交发展。探索将叶集毗邻地区（如固始县祖师庙镇、黎集镇、武庙集镇、段集镇等）的邮件统一由叶集邮政中心局分拣、封发和派送,提高叶集区处理邮件的数量，推动叶集区邮政网点等级升级。</w:t>
      </w:r>
    </w:p>
    <w:p>
      <w:pPr>
        <w:ind w:firstLine="640"/>
        <w:jc w:val="left"/>
      </w:pPr>
      <w:r>
        <w:rPr>
          <w:rFonts w:hint="eastAsia"/>
          <w:sz w:val="32"/>
          <w:szCs w:val="28"/>
        </w:rPr>
        <w:t>推动金叶协同发展。聚焦产业协作核心共推革命老区振兴，推动空间规划协同，加快基础设施建设，完善“四纵”路网体系。充分利用合武高铁金寨东站，打通连接堵点，便捷及周边群众出行。重点推进G632叶集平岗段新建工程项目建设，配合建设G529金寨段接线工程，谋划S329叶集段（永和路至金寨界）改造工程、S247（平岗和平段）新建工程等项目，开通叶集至金寨东站的直达公交线路，不断深化叶集与金寨的交通联系。</w:t>
      </w:r>
    </w:p>
    <w:p>
      <w:pPr>
        <w:pStyle w:val="3"/>
        <w:tabs>
          <w:tab w:val="left" w:pos="630"/>
          <w:tab w:val="clear" w:pos="0"/>
        </w:tabs>
        <w:spacing w:before="468" w:beforeLines="150" w:after="240"/>
        <w:rPr>
          <w:rFonts w:ascii="Times New Roman" w:hAnsi="Times New Roman"/>
          <w:sz w:val="32"/>
        </w:rPr>
      </w:pPr>
      <w:bookmarkStart w:id="74" w:name="_Toc27686"/>
      <w:bookmarkStart w:id="75" w:name="_Toc13315"/>
      <w:bookmarkStart w:id="76" w:name="_Toc2330"/>
      <w:r>
        <w:rPr>
          <w:rFonts w:hint="eastAsia" w:ascii="Times New Roman" w:hAnsi="Times New Roman"/>
          <w:sz w:val="32"/>
        </w:rPr>
        <w:t>低碳环保推进交通绿色发展</w:t>
      </w:r>
      <w:bookmarkEnd w:id="74"/>
      <w:bookmarkEnd w:id="75"/>
      <w:bookmarkEnd w:id="76"/>
    </w:p>
    <w:p>
      <w:pPr>
        <w:pStyle w:val="4"/>
        <w:tabs>
          <w:tab w:val="clear" w:pos="0"/>
        </w:tabs>
        <w:spacing w:before="312" w:beforeLines="100" w:after="312" w:afterLines="100"/>
        <w:rPr>
          <w:sz w:val="32"/>
        </w:rPr>
      </w:pPr>
      <w:bookmarkStart w:id="77" w:name="_Toc25931"/>
      <w:bookmarkStart w:id="78" w:name="_Toc7234"/>
      <w:r>
        <w:rPr>
          <w:rFonts w:hint="eastAsia"/>
          <w:sz w:val="32"/>
        </w:rPr>
        <w:t>推进</w:t>
      </w:r>
      <w:bookmarkEnd w:id="77"/>
      <w:r>
        <w:rPr>
          <w:rFonts w:hint="eastAsia"/>
          <w:sz w:val="32"/>
        </w:rPr>
        <w:t>低碳交通基础设施建设</w:t>
      </w:r>
      <w:bookmarkEnd w:id="78"/>
    </w:p>
    <w:p>
      <w:pPr>
        <w:snapToGrid w:val="0"/>
        <w:ind w:firstLine="640"/>
        <w:rPr>
          <w:sz w:val="32"/>
          <w:szCs w:val="32"/>
        </w:rPr>
      </w:pPr>
      <w:r>
        <w:rPr>
          <w:rFonts w:hint="eastAsia" w:ascii="宋体" w:hAnsi="宋体"/>
          <w:sz w:val="32"/>
          <w:szCs w:val="32"/>
        </w:rPr>
        <w:t>统筹集约利用综合运输通道线位、桥位、土地、岸线等资源，提高国土空间综合利用率。构建绿色交通建设体系，深入实施绿色公路、绿色港口、绿色航道、绿色机场建设，加快构建生态友好型交通基础设施网络。完善新能源汽车配套设施，有序推进充电桩、配套电网、加气站、加氢站等基础设施建设，建设一批低碳、零碳场站及服务区。</w:t>
      </w:r>
    </w:p>
    <w:p>
      <w:pPr>
        <w:pStyle w:val="4"/>
        <w:tabs>
          <w:tab w:val="clear" w:pos="0"/>
        </w:tabs>
        <w:spacing w:before="312" w:beforeLines="100" w:after="312" w:afterLines="100"/>
        <w:rPr>
          <w:sz w:val="32"/>
        </w:rPr>
      </w:pPr>
      <w:bookmarkStart w:id="79" w:name="_Toc18021"/>
      <w:r>
        <w:rPr>
          <w:rFonts w:hint="eastAsia"/>
          <w:sz w:val="32"/>
        </w:rPr>
        <w:t>建立绿色交通发展体系</w:t>
      </w:r>
      <w:bookmarkEnd w:id="79"/>
    </w:p>
    <w:p>
      <w:pPr>
        <w:snapToGrid w:val="0"/>
        <w:ind w:firstLine="640"/>
        <w:rPr>
          <w:rFonts w:ascii="宋体" w:hAnsi="宋体"/>
          <w:sz w:val="32"/>
          <w:szCs w:val="32"/>
        </w:rPr>
      </w:pPr>
      <w:r>
        <w:rPr>
          <w:rFonts w:hint="eastAsia" w:ascii="宋体" w:hAnsi="宋体"/>
          <w:sz w:val="32"/>
          <w:szCs w:val="32"/>
        </w:rPr>
        <w:t>“十五五”时期，叶集区将持续探索“绿水青山就是金山银山”转化路径，落实碳达峰、碳中和举措，推进绿色低碳发展，践行节能减排要求，全面提升生态环境治理体系和治理能力现代化水平。</w:t>
      </w:r>
    </w:p>
    <w:p>
      <w:pPr>
        <w:snapToGrid w:val="0"/>
        <w:ind w:firstLine="640"/>
        <w:rPr>
          <w:rFonts w:ascii="宋体" w:hAnsi="宋体"/>
          <w:sz w:val="32"/>
          <w:szCs w:val="32"/>
        </w:rPr>
      </w:pPr>
      <w:r>
        <w:rPr>
          <w:rFonts w:hint="eastAsia" w:ascii="宋体" w:hAnsi="宋体"/>
          <w:sz w:val="32"/>
          <w:szCs w:val="32"/>
        </w:rPr>
        <w:t>绿色出行。推动出行方式绿色转型，积极引导优化城乡公交线网、增设公交站点、完善设施、规范管理等，打造以“公共交通+共享单车+步行”等绿色交通为主导的综合交通体系。以提升游客景区游览体验，促进“景城一体”融合发展为目标，构建支撑省内高水准的旅游交通体系，形成以公共交通和慢行交通出行为主体的景区交通出行结构。</w:t>
      </w:r>
    </w:p>
    <w:p>
      <w:pPr>
        <w:snapToGrid w:val="0"/>
        <w:ind w:firstLine="640"/>
      </w:pPr>
      <w:r>
        <w:rPr>
          <w:rFonts w:hint="eastAsia" w:ascii="宋体" w:hAnsi="宋体"/>
          <w:sz w:val="32"/>
          <w:szCs w:val="32"/>
        </w:rPr>
        <w:t>绿色设施。利用</w:t>
      </w:r>
      <w:r>
        <w:rPr>
          <w:rFonts w:hint="eastAsia" w:ascii="宋体" w:hAnsi="宋体"/>
          <w:sz w:val="32"/>
          <w:szCs w:val="32"/>
          <w:lang w:eastAsia="zh-CN"/>
        </w:rPr>
        <w:t>“</w:t>
      </w:r>
      <w:r>
        <w:rPr>
          <w:rFonts w:hint="eastAsia" w:ascii="宋体" w:hAnsi="宋体"/>
          <w:sz w:val="32"/>
          <w:szCs w:val="32"/>
        </w:rPr>
        <w:t>十五五</w:t>
      </w:r>
      <w:r>
        <w:rPr>
          <w:rFonts w:hint="eastAsia" w:ascii="宋体" w:hAnsi="宋体"/>
          <w:sz w:val="32"/>
          <w:szCs w:val="32"/>
          <w:lang w:eastAsia="zh-CN"/>
        </w:rPr>
        <w:t>”</w:t>
      </w:r>
      <w:bookmarkStart w:id="119" w:name="_GoBack"/>
      <w:bookmarkEnd w:id="119"/>
      <w:r>
        <w:rPr>
          <w:rFonts w:hint="eastAsia" w:ascii="宋体" w:hAnsi="宋体"/>
          <w:sz w:val="32"/>
          <w:szCs w:val="32"/>
        </w:rPr>
        <w:t>期间国省道新改建建设契机，打造G632叶集段（姚李至平岗段）绿色公路示范项目。绿色公路是指“在公路的全寿命周期内，以创新、协调、绿色、开放、共享为发展理念，最大限度地控制资源占用、降低能源消耗、减少污染排放、保护生态环境，注重建设品质提升与运行效率提高，为人们提供安全、舒适、便捷、美观的行车环境，与自然和谐共生的公路”。在“双碳”目标引领和交通强国建设背景下，绿色公路已成为公路建设领域转型升级的核心方向。它打破了传统公路“重建设、轻生态”的发展模式，将可持续发展理念贯穿全流程，实现交通功能与生态保护的协同共生。</w:t>
      </w:r>
    </w:p>
    <w:p>
      <w:pPr>
        <w:snapToGrid w:val="0"/>
        <w:ind w:firstLine="640"/>
        <w:rPr>
          <w:rFonts w:ascii="宋体" w:hAnsi="宋体"/>
          <w:sz w:val="32"/>
          <w:szCs w:val="32"/>
        </w:rPr>
      </w:pPr>
      <w:r>
        <w:rPr>
          <w:rFonts w:hint="eastAsia" w:ascii="宋体" w:hAnsi="宋体"/>
          <w:sz w:val="32"/>
          <w:szCs w:val="32"/>
        </w:rPr>
        <w:t>绿色装备。大力发展绿色运输装备，在城市公交、城市物流配送、邮政快递等领域不断提高新能源车辆比例。加快淘汰老旧装备，积极推进高排放营运车辆更新，逐步提高新增和更新新能源重型卡车比例。优化调整运输结构，推动运载工具清洁化，开展机动车清洁化五年行动，从源头上降低机动车污染物排放。</w:t>
      </w:r>
    </w:p>
    <w:p>
      <w:pPr>
        <w:pStyle w:val="4"/>
        <w:tabs>
          <w:tab w:val="clear" w:pos="0"/>
        </w:tabs>
        <w:spacing w:before="312" w:beforeLines="100" w:after="312" w:afterLines="100"/>
        <w:rPr>
          <w:sz w:val="32"/>
        </w:rPr>
      </w:pPr>
      <w:bookmarkStart w:id="80" w:name="_Toc30091"/>
      <w:r>
        <w:rPr>
          <w:rFonts w:hint="eastAsia"/>
          <w:sz w:val="32"/>
        </w:rPr>
        <w:t>推动运输工具装备低碳转型</w:t>
      </w:r>
      <w:bookmarkEnd w:id="80"/>
    </w:p>
    <w:p>
      <w:pPr>
        <w:snapToGrid w:val="0"/>
        <w:ind w:firstLine="640"/>
        <w:rPr>
          <w:rFonts w:ascii="宋体" w:hAnsi="宋体"/>
          <w:sz w:val="32"/>
          <w:szCs w:val="32"/>
        </w:rPr>
      </w:pPr>
      <w:r>
        <w:rPr>
          <w:rFonts w:hint="eastAsia" w:ascii="宋体" w:hAnsi="宋体"/>
          <w:sz w:val="32"/>
          <w:szCs w:val="32"/>
        </w:rPr>
        <w:t>推动城市公交和出租车新能源车型替代。加快老旧营运货车淘汰更新，推动新能源营运货车在港口集疏运、短途货运等场景应用。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bottom w:val="single" w:color="000000" w:sz="4" w:space="0"/>
              <w:tl2br w:val="nil"/>
            </w:tcBorders>
            <w:shd w:val="clear" w:color="auto" w:fill="FFFFFF"/>
            <w:vAlign w:val="center"/>
          </w:tcPr>
          <w:p>
            <w:pPr>
              <w:ind w:firstLine="560"/>
              <w:jc w:val="center"/>
              <w:rPr>
                <w:rFonts w:ascii="黑体" w:hAnsi="黑体" w:eastAsia="黑体" w:cs="黑体"/>
                <w:szCs w:val="28"/>
              </w:rPr>
            </w:pPr>
            <w:r>
              <w:rPr>
                <w:rFonts w:hint="eastAsia" w:eastAsia="黑体"/>
                <w:szCs w:val="28"/>
              </w:rPr>
              <w:t>专栏8：叶集新能源公交车更新项目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3" w:type="dxa"/>
            <w:tcBorders>
              <w:top w:val="single" w:color="000000" w:sz="4" w:space="0"/>
            </w:tcBorders>
            <w:shd w:val="clear" w:color="auto" w:fill="FFFFFF"/>
          </w:tcPr>
          <w:p>
            <w:pPr>
              <w:ind w:firstLine="560"/>
              <w:rPr>
                <w:rFonts w:eastAsia="仿宋"/>
                <w:szCs w:val="28"/>
              </w:rPr>
            </w:pPr>
            <w:r>
              <w:rPr>
                <w:rFonts w:hint="eastAsia" w:ascii="宋体" w:hAnsi="宋体"/>
                <w:szCs w:val="28"/>
              </w:rPr>
              <w:t>逐步更新叶集新能源公交车辆，并升级改造原有公交信息化平台；利用5G、云计算、大数据等新兴技术，建设一套先进的出租车综合服务监管系统，同时为全区169辆巡游出租汽车安装智能服务终端设备，实现对巡游出租车的实时调度监控。</w:t>
            </w:r>
          </w:p>
        </w:tc>
      </w:tr>
    </w:tbl>
    <w:p>
      <w:pPr>
        <w:snapToGrid w:val="0"/>
        <w:ind w:firstLine="560"/>
        <w:rPr>
          <w:rFonts w:ascii="宋体" w:hAnsi="宋体"/>
          <w:szCs w:val="28"/>
        </w:rPr>
      </w:pPr>
    </w:p>
    <w:p>
      <w:pPr>
        <w:pStyle w:val="3"/>
        <w:tabs>
          <w:tab w:val="left" w:pos="630"/>
          <w:tab w:val="clear" w:pos="0"/>
        </w:tabs>
        <w:spacing w:before="468" w:beforeLines="150" w:after="240"/>
        <w:rPr>
          <w:rFonts w:ascii="Times New Roman" w:hAnsi="Times New Roman"/>
          <w:sz w:val="32"/>
        </w:rPr>
      </w:pPr>
      <w:bookmarkStart w:id="81" w:name="_Toc19970"/>
      <w:bookmarkStart w:id="82" w:name="_Toc6703"/>
      <w:bookmarkStart w:id="83" w:name="_Toc7384"/>
      <w:r>
        <w:rPr>
          <w:rFonts w:hint="eastAsia" w:ascii="Times New Roman" w:hAnsi="Times New Roman"/>
          <w:sz w:val="32"/>
        </w:rPr>
        <w:t>筑牢平安交通</w:t>
      </w:r>
      <w:bookmarkEnd w:id="81"/>
      <w:r>
        <w:rPr>
          <w:rFonts w:hint="eastAsia" w:ascii="Times New Roman" w:hAnsi="Times New Roman"/>
          <w:sz w:val="32"/>
        </w:rPr>
        <w:t>屏障、增强交通韧性</w:t>
      </w:r>
      <w:bookmarkEnd w:id="82"/>
      <w:bookmarkEnd w:id="83"/>
    </w:p>
    <w:p>
      <w:pPr>
        <w:pStyle w:val="4"/>
        <w:tabs>
          <w:tab w:val="clear" w:pos="0"/>
        </w:tabs>
        <w:spacing w:before="312" w:beforeLines="100" w:after="312" w:afterLines="100"/>
        <w:rPr>
          <w:sz w:val="32"/>
        </w:rPr>
      </w:pPr>
      <w:bookmarkStart w:id="84" w:name="_Toc4199"/>
      <w:r>
        <w:rPr>
          <w:rFonts w:hint="eastAsia"/>
          <w:sz w:val="32"/>
        </w:rPr>
        <w:t>提升本质安全水平</w:t>
      </w:r>
      <w:bookmarkEnd w:id="84"/>
    </w:p>
    <w:p>
      <w:pPr>
        <w:ind w:firstLine="643"/>
        <w:rPr>
          <w:rFonts w:ascii="仿宋_GB2312"/>
          <w:sz w:val="32"/>
          <w:szCs w:val="28"/>
          <w:lang w:bidi="ar"/>
        </w:rPr>
      </w:pPr>
      <w:r>
        <w:rPr>
          <w:rFonts w:hint="eastAsia" w:ascii="仿宋_GB2312"/>
          <w:b/>
          <w:sz w:val="32"/>
          <w:szCs w:val="28"/>
          <w:lang w:bidi="ar"/>
        </w:rPr>
        <w:t>提升营运车辆、货车设备安全技术性能</w:t>
      </w:r>
      <w:r>
        <w:rPr>
          <w:rFonts w:hint="eastAsia" w:ascii="仿宋_GB2312"/>
          <w:sz w:val="32"/>
          <w:szCs w:val="28"/>
          <w:lang w:bidi="ar"/>
        </w:rPr>
        <w:t>。加强重点营运车辆安全技术条件核查，逐步推动中重型柴油货车、高耗低效非标准汽车列车及罐车等老旧柴油货车退出市场，综合提升车辆安全性能。推动“两客一危”车辆全面安装应用智能监控设备，并逐步向重载货车等领域推广应用。</w:t>
      </w:r>
    </w:p>
    <w:p>
      <w:pPr>
        <w:snapToGrid w:val="0"/>
        <w:ind w:firstLine="643"/>
        <w:rPr>
          <w:rFonts w:ascii="仿宋" w:hAnsi="仿宋" w:eastAsia="仿宋"/>
          <w:sz w:val="32"/>
          <w:szCs w:val="32"/>
        </w:rPr>
      </w:pPr>
      <w:r>
        <w:rPr>
          <w:rFonts w:hint="eastAsia" w:ascii="仿宋_GB2312"/>
          <w:b/>
          <w:sz w:val="32"/>
          <w:szCs w:val="28"/>
          <w:lang w:bidi="ar"/>
        </w:rPr>
        <w:t>巩固提升基础设施安全韧性。</w:t>
      </w:r>
      <w:r>
        <w:rPr>
          <w:rFonts w:hint="eastAsia" w:ascii="仿宋_GB2312"/>
          <w:sz w:val="32"/>
          <w:szCs w:val="28"/>
          <w:lang w:bidi="ar"/>
        </w:rPr>
        <w:t>持续推进公路安全设施精细化提升行动、农村公路安防设施提升行动和危桥改造，深入开展公路危险路段排查治理，重点整治普通国省道穿村过镇路段和平交路口等重点路段、节点安全隐患，提升公路运输环境安全水平。加密普通国省道监测网络，持续推进桥梁健康监测系统建设，加强重要公路基础设施运行状态监测，提升重要基础设施自然灾害和突发事件监测预警、分析研判、快速响应、紧急恢复能力，提高基础设施运行安全水平。</w:t>
      </w:r>
    </w:p>
    <w:p>
      <w:pPr>
        <w:pStyle w:val="4"/>
        <w:tabs>
          <w:tab w:val="clear" w:pos="0"/>
        </w:tabs>
        <w:spacing w:before="312" w:beforeLines="100" w:after="312" w:afterLines="100"/>
        <w:rPr>
          <w:sz w:val="32"/>
        </w:rPr>
      </w:pPr>
      <w:bookmarkStart w:id="85" w:name="_Toc193786516"/>
      <w:bookmarkStart w:id="86" w:name="_Toc8775"/>
      <w:bookmarkStart w:id="87" w:name="_Toc198223659"/>
      <w:r>
        <w:rPr>
          <w:rFonts w:hint="eastAsia"/>
          <w:sz w:val="32"/>
        </w:rPr>
        <w:t>织密风险防控网络</w:t>
      </w:r>
      <w:bookmarkEnd w:id="85"/>
      <w:bookmarkEnd w:id="86"/>
      <w:bookmarkEnd w:id="87"/>
    </w:p>
    <w:p>
      <w:pPr>
        <w:ind w:firstLine="643"/>
        <w:rPr>
          <w:rFonts w:ascii="仿宋_GB2312"/>
          <w:sz w:val="32"/>
          <w:szCs w:val="32"/>
          <w:lang w:bidi="ar"/>
        </w:rPr>
      </w:pPr>
      <w:r>
        <w:rPr>
          <w:rFonts w:hint="eastAsia" w:ascii="仿宋_GB2312"/>
          <w:b/>
          <w:sz w:val="32"/>
          <w:szCs w:val="32"/>
          <w:lang w:bidi="ar"/>
        </w:rPr>
        <w:t>深化重大风险防控。</w:t>
      </w:r>
      <w:r>
        <w:rPr>
          <w:rFonts w:hint="eastAsia" w:ascii="仿宋_GB2312"/>
          <w:sz w:val="32"/>
          <w:szCs w:val="32"/>
          <w:lang w:bidi="ar"/>
        </w:rPr>
        <w:t>深化安全风险研判机制、决策风险评估机制、风险防控协同机制、风险防控责任机制“四项机制”建设，更新完善省级交通运输安全生产重大风险点清单，指导交通运输企业对照清单定期开展重大风险辨识评估、“五个清单”建设更新、和重大风险点信息报告，并建立重大风险定期摸排上报、各级交通运输部门分析研判工作机制。建立健全“两客一危”等重点领域风险评估指标体系，决策风险评估工作组织、评估方法、评估实施、评价结果等各环节内容、程序要求，提升决策风险评估专业化、规范化水平。建设省市县贯通衔接的重大风险分级管理、同步防控工作机制和跨部门协同防控机制，建立重点领域重大风险“一图、一册、一表”。</w:t>
      </w:r>
    </w:p>
    <w:p>
      <w:pPr>
        <w:ind w:firstLine="643"/>
        <w:rPr>
          <w:rFonts w:ascii="仿宋_GB2312"/>
          <w:sz w:val="32"/>
          <w:szCs w:val="32"/>
          <w:lang w:bidi="ar"/>
        </w:rPr>
      </w:pPr>
      <w:r>
        <w:rPr>
          <w:rFonts w:ascii="仿宋_GB2312"/>
          <w:b/>
          <w:sz w:val="32"/>
          <w:szCs w:val="32"/>
          <w:lang w:bidi="ar"/>
        </w:rPr>
        <w:t>常态开展风险评估。</w:t>
      </w:r>
      <w:r>
        <w:rPr>
          <w:rFonts w:hint="eastAsia" w:ascii="仿宋_GB2312"/>
          <w:sz w:val="32"/>
          <w:szCs w:val="32"/>
          <w:lang w:bidi="ar"/>
        </w:rPr>
        <w:t>逐步</w:t>
      </w:r>
      <w:r>
        <w:rPr>
          <w:rFonts w:ascii="仿宋_GB2312"/>
          <w:sz w:val="32"/>
          <w:szCs w:val="32"/>
          <w:lang w:bidi="ar"/>
        </w:rPr>
        <w:t>建立</w:t>
      </w:r>
      <w:r>
        <w:rPr>
          <w:rFonts w:hint="eastAsia" w:ascii="仿宋_GB2312"/>
          <w:sz w:val="32"/>
          <w:szCs w:val="32"/>
          <w:lang w:bidi="ar"/>
        </w:rPr>
        <w:t>“两客一危”</w:t>
      </w:r>
      <w:r>
        <w:rPr>
          <w:rFonts w:ascii="仿宋_GB2312"/>
          <w:sz w:val="32"/>
          <w:szCs w:val="32"/>
          <w:lang w:bidi="ar"/>
        </w:rPr>
        <w:t>重点领域安全风险常态化评估机制，</w:t>
      </w:r>
      <w:r>
        <w:rPr>
          <w:rFonts w:hint="eastAsia" w:ascii="仿宋_GB2312"/>
          <w:sz w:val="32"/>
          <w:szCs w:val="32"/>
          <w:lang w:bidi="ar"/>
        </w:rPr>
        <w:t>围绕关键岗位人员配备、履职情况，车船设备安全技术状况、运输介质，作业过程动态监控、异地经营，以及企业经营许可、全员安全责任制、机构和人员配备、安全教育培训、安全管理制度、安全投入、双重预防机制、应急管理方面等</w:t>
      </w:r>
      <w:r>
        <w:rPr>
          <w:rFonts w:ascii="仿宋_GB2312"/>
          <w:sz w:val="32"/>
          <w:szCs w:val="32"/>
          <w:lang w:bidi="ar"/>
        </w:rPr>
        <w:t>探索构建</w:t>
      </w:r>
      <w:r>
        <w:rPr>
          <w:rFonts w:hint="eastAsia" w:ascii="仿宋_GB2312"/>
          <w:sz w:val="32"/>
          <w:szCs w:val="32"/>
          <w:lang w:bidi="ar"/>
        </w:rPr>
        <w:t>“两客一危”</w:t>
      </w:r>
      <w:r>
        <w:rPr>
          <w:rFonts w:ascii="仿宋_GB2312"/>
          <w:sz w:val="32"/>
          <w:szCs w:val="32"/>
          <w:lang w:bidi="ar"/>
        </w:rPr>
        <w:t>风险管理水平综合评估体系，定量化评估关键岗位从业人员履职能力、关键设施设备安全风险状况、作业过程风险管控能力和企业安全生产基础管理能力等，构建企业、区域安全画像，支撑风险精准防控</w:t>
      </w:r>
      <w:r>
        <w:rPr>
          <w:rFonts w:hint="eastAsia" w:ascii="仿宋_GB2312"/>
          <w:sz w:val="32"/>
          <w:szCs w:val="32"/>
          <w:lang w:bidi="ar"/>
        </w:rPr>
        <w:t>。</w:t>
      </w:r>
    </w:p>
    <w:p>
      <w:pPr>
        <w:snapToGrid w:val="0"/>
        <w:ind w:firstLine="643"/>
        <w:rPr>
          <w:sz w:val="32"/>
          <w:szCs w:val="32"/>
        </w:rPr>
      </w:pPr>
      <w:r>
        <w:rPr>
          <w:rFonts w:ascii="仿宋_GB2312"/>
          <w:b/>
          <w:sz w:val="32"/>
          <w:szCs w:val="32"/>
          <w:lang w:bidi="ar"/>
        </w:rPr>
        <w:t>实施风险精准监测。</w:t>
      </w:r>
      <w:r>
        <w:rPr>
          <w:rFonts w:hint="eastAsia" w:ascii="仿宋_GB2312"/>
          <w:sz w:val="32"/>
          <w:szCs w:val="32"/>
          <w:lang w:bidi="ar"/>
        </w:rPr>
        <w:t>建立健全重点领域生产安全事故数据、行业安全监管数据定期分析研判和通报机制，动态研判和发布安全生产形势、变化趋势</w:t>
      </w:r>
      <w:r>
        <w:rPr>
          <w:rFonts w:ascii="仿宋_GB2312"/>
          <w:sz w:val="32"/>
          <w:szCs w:val="32"/>
          <w:lang w:bidi="ar"/>
        </w:rPr>
        <w:t>并</w:t>
      </w:r>
      <w:r>
        <w:rPr>
          <w:rFonts w:hint="eastAsia" w:ascii="仿宋_GB2312"/>
          <w:sz w:val="32"/>
          <w:szCs w:val="32"/>
          <w:lang w:bidi="ar"/>
        </w:rPr>
        <w:t>提出</w:t>
      </w:r>
      <w:r>
        <w:rPr>
          <w:rFonts w:ascii="仿宋_GB2312"/>
          <w:sz w:val="32"/>
          <w:szCs w:val="32"/>
          <w:lang w:bidi="ar"/>
        </w:rPr>
        <w:t>安全监管建议措施</w:t>
      </w:r>
      <w:r>
        <w:rPr>
          <w:rFonts w:hint="eastAsia" w:ascii="仿宋_GB2312"/>
          <w:sz w:val="32"/>
          <w:szCs w:val="32"/>
          <w:lang w:bidi="ar"/>
        </w:rPr>
        <w:t>，有效支撑风险防控决策。持续深化较大事故、连续多发事故、重点时段以及月度、季度和典型事故警示提示机制，对发生典型事故或事故多发的地区和单位，及时予以约谈。</w:t>
      </w:r>
    </w:p>
    <w:p>
      <w:pPr>
        <w:pStyle w:val="4"/>
        <w:tabs>
          <w:tab w:val="clear" w:pos="0"/>
        </w:tabs>
        <w:spacing w:before="312" w:beforeLines="100" w:after="312" w:afterLines="100"/>
      </w:pPr>
      <w:bookmarkStart w:id="88" w:name="_Toc193786517"/>
      <w:bookmarkStart w:id="89" w:name="_Toc198223660"/>
      <w:bookmarkStart w:id="90" w:name="_Toc27689"/>
      <w:r>
        <w:rPr>
          <w:rFonts w:hint="eastAsia"/>
        </w:rPr>
        <w:t>夯实安全监管</w:t>
      </w:r>
      <w:bookmarkEnd w:id="88"/>
      <w:r>
        <w:rPr>
          <w:rFonts w:hint="eastAsia"/>
        </w:rPr>
        <w:t>基础</w:t>
      </w:r>
      <w:bookmarkEnd w:id="89"/>
      <w:bookmarkEnd w:id="90"/>
    </w:p>
    <w:p>
      <w:pPr>
        <w:ind w:firstLine="643"/>
        <w:rPr>
          <w:rFonts w:ascii="仿宋_GB2312" w:cs="Arial"/>
          <w:snapToGrid w:val="0"/>
          <w:kern w:val="0"/>
          <w:sz w:val="32"/>
          <w:szCs w:val="32"/>
        </w:rPr>
      </w:pPr>
      <w:r>
        <w:rPr>
          <w:rFonts w:hint="eastAsia" w:ascii="仿宋_GB2312" w:cs="Arial"/>
          <w:b/>
          <w:bCs/>
          <w:snapToGrid w:val="0"/>
          <w:kern w:val="0"/>
          <w:sz w:val="32"/>
          <w:szCs w:val="32"/>
        </w:rPr>
        <w:t>强化安全监管法治支撑。</w:t>
      </w:r>
      <w:r>
        <w:rPr>
          <w:rFonts w:hint="eastAsia" w:ascii="仿宋_GB2312" w:cs="Arial"/>
          <w:snapToGrid w:val="0"/>
          <w:kern w:val="0"/>
          <w:sz w:val="32"/>
          <w:szCs w:val="32"/>
        </w:rPr>
        <w:t>持续跟踪法律法规和标准规范立改废释情况，及时完善重点领域法规规章制度体系；完善网约车、网络货运、低空运输等新兴领域法规制度体系；</w:t>
      </w:r>
      <w:r>
        <w:rPr>
          <w:rFonts w:hint="eastAsia" w:ascii="仿宋_GB2312" w:hAnsi="等线" w:cs="Arial"/>
          <w:snapToGrid w:val="0"/>
          <w:kern w:val="0"/>
          <w:sz w:val="32"/>
          <w:szCs w:val="32"/>
        </w:rPr>
        <w:t>以现有风险辨识评估和管控标准规范体系为基础，健全交通运输重点领域风险管控制度规范、标准指南体系</w:t>
      </w:r>
      <w:r>
        <w:rPr>
          <w:rFonts w:hint="eastAsia" w:ascii="仿宋_GB2312" w:cs="Arial"/>
          <w:snapToGrid w:val="0"/>
          <w:kern w:val="0"/>
          <w:sz w:val="32"/>
          <w:szCs w:val="32"/>
        </w:rPr>
        <w:t>；指导企业规范化开展风险管理体系建设；以现行重大事故隐患判定标准为基础，制定配套解读、指导图册、指导视频等，提升监管执法人员和一线从业人员重大事故隐患排查治理能力；结合建立小微企业实际，探索建设安全管理体系建设指南，推动企业安全管理体系规范化建设运行。</w:t>
      </w:r>
    </w:p>
    <w:p>
      <w:pPr>
        <w:ind w:firstLine="643"/>
        <w:rPr>
          <w:rFonts w:ascii="仿宋_GB2312" w:cs="Arial"/>
          <w:snapToGrid w:val="0"/>
          <w:kern w:val="0"/>
          <w:sz w:val="32"/>
          <w:szCs w:val="32"/>
        </w:rPr>
      </w:pPr>
      <w:r>
        <w:rPr>
          <w:rFonts w:hint="eastAsia" w:ascii="仿宋_GB2312" w:cs="Arial"/>
          <w:b/>
          <w:bCs/>
          <w:snapToGrid w:val="0"/>
          <w:kern w:val="0"/>
          <w:sz w:val="32"/>
          <w:szCs w:val="32"/>
        </w:rPr>
        <w:t>精准提升安全监管能力。</w:t>
      </w:r>
      <w:r>
        <w:rPr>
          <w:rFonts w:hint="eastAsia" w:ascii="仿宋_GB2312" w:cs="Arial"/>
          <w:snapToGrid w:val="0"/>
          <w:kern w:val="0"/>
          <w:sz w:val="32"/>
          <w:szCs w:val="32"/>
        </w:rPr>
        <w:t>推进行政执法队伍正规化、专业化、职业化建设，培养“一专多能”综合型人才。加强执法单兵的执法记录仪、个人防护用品等以及执法单元的执法车辆等通用型必配装备配备，加强应急救援等特殊场景专用型执法装备配备；规范交通运输综合行政执法装备的购置、配备、使用、管理和处置。制定基层监管执法人员履职标准，分领域梳理监管事项、执法事项，明确监管标准、排查要点，推动监管执法标准化、规范化。</w:t>
      </w:r>
    </w:p>
    <w:p>
      <w:pPr>
        <w:ind w:firstLine="643"/>
        <w:rPr>
          <w:sz w:val="32"/>
          <w:szCs w:val="32"/>
        </w:rPr>
      </w:pPr>
      <w:r>
        <w:rPr>
          <w:rFonts w:hint="eastAsia" w:ascii="仿宋_GB2312" w:cs="Arial"/>
          <w:b/>
          <w:bCs/>
          <w:snapToGrid w:val="0"/>
          <w:kern w:val="0"/>
          <w:sz w:val="32"/>
          <w:szCs w:val="32"/>
        </w:rPr>
        <w:t>创新安全监管体制机制。</w:t>
      </w:r>
      <w:r>
        <w:rPr>
          <w:rFonts w:hint="eastAsia" w:ascii="仿宋_GB2312" w:cs="Arial"/>
          <w:snapToGrid w:val="0"/>
          <w:kern w:val="0"/>
          <w:sz w:val="32"/>
          <w:szCs w:val="32"/>
        </w:rPr>
        <w:t>加快推动重型载货汽车安装应用智能监控设备，深化重点领域线上线下协同监管，推动实现基于线上监管数据的分类分级精细化监管。探索建立健全网络货运、网约车等新业态安全监管机制，明确各负有安全监督管理责任部门的安全监管责任，构建新业态安全监管沟通协调、协同监管机制。探索建立网络货运服务评估指标体系，并将车辆安全技术状况、人员安全教育情况、事故和违章记录等作为重要评估内容，推动构建以安全生产评估结果为导向的高质量选车机制。</w:t>
      </w:r>
    </w:p>
    <w:p>
      <w:pPr>
        <w:pStyle w:val="3"/>
        <w:tabs>
          <w:tab w:val="left" w:pos="630"/>
          <w:tab w:val="clear" w:pos="0"/>
        </w:tabs>
        <w:spacing w:before="468" w:beforeLines="150" w:after="240"/>
        <w:rPr>
          <w:rFonts w:ascii="Times New Roman" w:hAnsi="Times New Roman"/>
          <w:sz w:val="32"/>
        </w:rPr>
      </w:pPr>
      <w:bookmarkStart w:id="91" w:name="_Toc30774"/>
      <w:bookmarkStart w:id="92" w:name="_Toc198223662"/>
      <w:bookmarkStart w:id="93" w:name="_Toc112"/>
      <w:r>
        <w:rPr>
          <w:rFonts w:hint="eastAsia"/>
        </w:rPr>
        <w:t>深化改革、激发动能，推进行业治理能力现代化</w:t>
      </w:r>
      <w:bookmarkEnd w:id="91"/>
      <w:bookmarkEnd w:id="92"/>
      <w:bookmarkEnd w:id="93"/>
    </w:p>
    <w:p>
      <w:pPr>
        <w:pStyle w:val="4"/>
        <w:tabs>
          <w:tab w:val="clear" w:pos="0"/>
        </w:tabs>
        <w:spacing w:before="312" w:beforeLines="100" w:after="312" w:afterLines="100"/>
        <w:rPr>
          <w:sz w:val="32"/>
        </w:rPr>
      </w:pPr>
      <w:bookmarkStart w:id="94" w:name="_Toc23688"/>
      <w:bookmarkStart w:id="95" w:name="_Toc198223663"/>
      <w:r>
        <w:rPr>
          <w:rFonts w:hint="eastAsia"/>
          <w:sz w:val="32"/>
        </w:rPr>
        <w:t>深化行业体系改革</w:t>
      </w:r>
      <w:bookmarkEnd w:id="94"/>
      <w:bookmarkEnd w:id="95"/>
    </w:p>
    <w:p>
      <w:pPr>
        <w:ind w:firstLine="643"/>
        <w:rPr>
          <w:sz w:val="32"/>
          <w:szCs w:val="32"/>
        </w:rPr>
      </w:pPr>
      <w:r>
        <w:rPr>
          <w:rFonts w:hint="eastAsia"/>
          <w:b/>
          <w:sz w:val="32"/>
          <w:szCs w:val="32"/>
        </w:rPr>
        <w:t>深化交通运输管理体制改革</w:t>
      </w:r>
      <w:r>
        <w:rPr>
          <w:b/>
          <w:sz w:val="32"/>
          <w:szCs w:val="32"/>
        </w:rPr>
        <w:t>。</w:t>
      </w:r>
      <w:r>
        <w:rPr>
          <w:rFonts w:hint="eastAsia"/>
          <w:sz w:val="32"/>
          <w:szCs w:val="32"/>
        </w:rPr>
        <w:t>建立健全养护运行管理制度体系，推动长大桥梁、高边坡等重点部位安全监测体系和预警机制建设，加强养护“三基”建设。</w:t>
      </w:r>
      <w:r>
        <w:rPr>
          <w:rFonts w:hint="eastAsia"/>
          <w:b/>
          <w:sz w:val="32"/>
          <w:szCs w:val="32"/>
        </w:rPr>
        <w:t>深化交通运输投融资体制改革。</w:t>
      </w:r>
      <w:r>
        <w:rPr>
          <w:rFonts w:hint="eastAsia"/>
          <w:sz w:val="32"/>
          <w:szCs w:val="32"/>
        </w:rPr>
        <w:t>积极争取财政资金支持，增强重点任务财力保障能力。用足用好超长期国债、专项债等政府债券政策。探索</w:t>
      </w:r>
      <w:r>
        <w:rPr>
          <w:rFonts w:hint="eastAsia" w:ascii="仿宋_GB2312"/>
          <w:sz w:val="32"/>
          <w:szCs w:val="32"/>
        </w:rPr>
        <w:t>“交通项目+”</w:t>
      </w:r>
      <w:r>
        <w:rPr>
          <w:rFonts w:hint="eastAsia"/>
          <w:sz w:val="32"/>
          <w:szCs w:val="32"/>
        </w:rPr>
        <w:t>投融资模式。协调金融机构加大对交通项目的信贷支持，鼓励差异化贷款模式。</w:t>
      </w:r>
    </w:p>
    <w:p>
      <w:pPr>
        <w:pStyle w:val="21"/>
        <w:overflowPunct w:val="0"/>
        <w:spacing w:line="360" w:lineRule="auto"/>
        <w:ind w:left="0" w:leftChars="0" w:firstLine="643"/>
        <w:rPr>
          <w:sz w:val="32"/>
          <w:szCs w:val="32"/>
        </w:rPr>
      </w:pPr>
      <w:r>
        <w:rPr>
          <w:rFonts w:hint="eastAsia" w:ascii="仿宋_GB2312"/>
          <w:b/>
          <w:sz w:val="32"/>
          <w:szCs w:val="32"/>
        </w:rPr>
        <w:t>深化综合交通运输服务保障体系改革。健全畅通高效货运物流体系</w:t>
      </w:r>
      <w:r>
        <w:rPr>
          <w:rFonts w:hint="eastAsia" w:ascii="仿宋_GB2312"/>
          <w:sz w:val="32"/>
          <w:szCs w:val="32"/>
        </w:rPr>
        <w:t>，制定交通物流降本提质增效政策，加快实施交通物流降本提质增效交通强国任务，鼓励发展集约化配送模式。</w:t>
      </w:r>
      <w:r>
        <w:rPr>
          <w:rFonts w:hint="eastAsia" w:ascii="仿宋_GB2312"/>
          <w:b/>
          <w:sz w:val="32"/>
          <w:szCs w:val="32"/>
        </w:rPr>
        <w:t>健全快速便捷出行服务体系</w:t>
      </w:r>
      <w:r>
        <w:rPr>
          <w:rFonts w:hint="eastAsia" w:ascii="仿宋_GB2312"/>
          <w:sz w:val="32"/>
          <w:szCs w:val="32"/>
        </w:rPr>
        <w:t>，健全旅客联程运输体系，培育联程运输市场经营主体，优化综合客运站安检流程，打造联程运输服务品牌。健全城乡客运一体化发展机制。鼓励定制客运创新发展。完善优先发展城市公共交通体制机制。</w:t>
      </w:r>
      <w:r>
        <w:rPr>
          <w:rFonts w:hint="eastAsia" w:ascii="仿宋_GB2312"/>
          <w:b/>
          <w:sz w:val="32"/>
          <w:szCs w:val="32"/>
        </w:rPr>
        <w:t>健全交通运输新业态监管体系</w:t>
      </w:r>
      <w:r>
        <w:rPr>
          <w:rFonts w:hint="eastAsia" w:ascii="仿宋_GB2312"/>
          <w:sz w:val="32"/>
          <w:szCs w:val="32"/>
        </w:rPr>
        <w:t>，健全交通运输新业态企业的事前事中事后全链条监管，探索建立网约车平台企业线上服务能力动态管理机制，制定网络货运企业质量信誉考核评价制度。</w:t>
      </w:r>
    </w:p>
    <w:p>
      <w:pPr>
        <w:pStyle w:val="4"/>
        <w:tabs>
          <w:tab w:val="clear" w:pos="0"/>
        </w:tabs>
        <w:spacing w:before="312" w:beforeLines="100" w:after="312" w:afterLines="100"/>
        <w:rPr>
          <w:sz w:val="32"/>
        </w:rPr>
      </w:pPr>
      <w:bookmarkStart w:id="96" w:name="_Toc198223664"/>
      <w:bookmarkStart w:id="97" w:name="_Toc29033"/>
      <w:r>
        <w:rPr>
          <w:rFonts w:hint="eastAsia"/>
          <w:sz w:val="32"/>
        </w:rPr>
        <w:t>强化法治交通建设</w:t>
      </w:r>
      <w:bookmarkEnd w:id="96"/>
      <w:bookmarkEnd w:id="97"/>
    </w:p>
    <w:p>
      <w:pPr>
        <w:ind w:firstLine="643"/>
        <w:rPr>
          <w:rFonts w:ascii="宋体" w:hAnsi="宋体"/>
          <w:sz w:val="32"/>
          <w:szCs w:val="32"/>
        </w:rPr>
      </w:pPr>
      <w:r>
        <w:rPr>
          <w:rFonts w:hint="eastAsia" w:ascii="宋体" w:hAnsi="宋体"/>
          <w:b/>
          <w:sz w:val="32"/>
          <w:szCs w:val="32"/>
        </w:rPr>
        <w:t>提升交通运输法治化水平。</w:t>
      </w:r>
      <w:r>
        <w:rPr>
          <w:rFonts w:hint="eastAsia" w:ascii="宋体" w:hAnsi="宋体"/>
          <w:sz w:val="32"/>
          <w:szCs w:val="32"/>
        </w:rPr>
        <w:t>全面构建法治交通体系，深入推进执法规范化建设，持续推进基层执法站所标准化；健全执法装备管理体系，提升执法装备现代化水平；强化执法人才队伍建设，推进执法职业化建设。持续开展执法队伍能力素质提升，全面提升行业治理能力。巩固交通运输系统依法行政能力提升行动成果，推进执法制度动态更新。</w:t>
      </w:r>
    </w:p>
    <w:p>
      <w:pPr>
        <w:ind w:firstLine="643"/>
        <w:rPr>
          <w:rFonts w:ascii="宋体" w:hAnsi="宋体"/>
          <w:sz w:val="32"/>
          <w:szCs w:val="32"/>
        </w:rPr>
      </w:pPr>
      <w:r>
        <w:rPr>
          <w:rFonts w:hint="eastAsia" w:ascii="宋体" w:hAnsi="宋体"/>
          <w:b/>
          <w:sz w:val="32"/>
          <w:szCs w:val="32"/>
        </w:rPr>
        <w:t>严格规范公正文明执法。</w:t>
      </w:r>
      <w:r>
        <w:rPr>
          <w:rFonts w:hint="eastAsia" w:ascii="宋体" w:hAnsi="宋体"/>
          <w:sz w:val="32"/>
          <w:szCs w:val="32"/>
        </w:rPr>
        <w:t>建立综合执法领域分级分类监管体系，聚焦重点问题和违法行为开展专项治理，切实提升执法监管力度。深入落实行政执法“三项制度”，强化执法主体、执法程序、执法文书等规范化建设。全面推行交通综合执法新模式，厘清执法权限，明确监管职责、执法领域和执法重点，畅通运行机制。持续提升执法一体联动水平，大力推进跨部门综合监管和执法业务协同。探索建立“互联网+”新型执法监管机制，加强全区交通执法统一调度指挥，加快提升精准执法、非现场执法水平，全面打造具有全国影响力的智慧执法品牌。</w:t>
      </w:r>
    </w:p>
    <w:p>
      <w:pPr>
        <w:ind w:firstLine="643"/>
        <w:jc w:val="left"/>
        <w:rPr>
          <w:sz w:val="32"/>
          <w:szCs w:val="32"/>
        </w:rPr>
      </w:pPr>
      <w:r>
        <w:rPr>
          <w:rFonts w:hint="eastAsia" w:ascii="宋体" w:hAnsi="宋体"/>
          <w:b/>
          <w:sz w:val="32"/>
          <w:szCs w:val="32"/>
        </w:rPr>
        <w:t>深化法治宣传教育。</w:t>
      </w:r>
      <w:r>
        <w:rPr>
          <w:rFonts w:hint="eastAsia" w:ascii="宋体" w:hAnsi="宋体"/>
          <w:sz w:val="32"/>
          <w:szCs w:val="32"/>
        </w:rPr>
        <w:t>深入推进法治政府示范建设，落实普法教育工作，常态化开展行业法律法规宣贯。系统开展以案释法，强化行业法律服务，增强法治意识，营造法治化的营商环境，提升行业法治文明。加强法治文化建设，打造普法宣传教育品牌，拓宽宣传渠道，丰富普法形式，健全交通综合执法机构与社会新闻媒体常态化合作机制，加强舆情监测和应对，提升交通执法成效的人民满意度。</w:t>
      </w:r>
    </w:p>
    <w:p>
      <w:pPr>
        <w:pStyle w:val="4"/>
        <w:tabs>
          <w:tab w:val="clear" w:pos="0"/>
        </w:tabs>
        <w:spacing w:before="312" w:beforeLines="100" w:after="312" w:afterLines="100"/>
        <w:rPr>
          <w:sz w:val="32"/>
        </w:rPr>
      </w:pPr>
      <w:bookmarkStart w:id="98" w:name="_Toc7029"/>
      <w:bookmarkStart w:id="99" w:name="_Toc198223665"/>
      <w:r>
        <w:rPr>
          <w:rFonts w:hint="eastAsia"/>
          <w:sz w:val="32"/>
        </w:rPr>
        <w:t>加强信用交通建设</w:t>
      </w:r>
      <w:bookmarkEnd w:id="98"/>
      <w:bookmarkEnd w:id="99"/>
    </w:p>
    <w:p>
      <w:pPr>
        <w:ind w:firstLine="643"/>
        <w:jc w:val="left"/>
        <w:rPr>
          <w:sz w:val="32"/>
          <w:szCs w:val="32"/>
        </w:rPr>
      </w:pPr>
      <w:r>
        <w:rPr>
          <w:rFonts w:hint="eastAsia"/>
          <w:b/>
          <w:sz w:val="32"/>
          <w:szCs w:val="32"/>
        </w:rPr>
        <w:t>推动“信用交通城市”建设。</w:t>
      </w:r>
      <w:r>
        <w:rPr>
          <w:rFonts w:hint="eastAsia"/>
          <w:sz w:val="32"/>
          <w:szCs w:val="32"/>
        </w:rPr>
        <w:t>健全区级层面交通运输信用管理体制和运行机制，推进信用组织管理规范化。建立健全行业信用制度标准，完善公路工程建设市场等重点领域信用管理办法等制度修订。建设运输服务、运营管理、车辆质量保障、配套设施服务等行业领域信用监管体系。深度融入长三角地区交通运输信用一体化，推进长三角地区跨区域信用信息共享和信用评价结果互认，高质量推进区域信用交通建设。</w:t>
      </w:r>
    </w:p>
    <w:p>
      <w:pPr>
        <w:ind w:firstLine="643"/>
        <w:jc w:val="left"/>
        <w:rPr>
          <w:sz w:val="32"/>
          <w:szCs w:val="32"/>
        </w:rPr>
      </w:pPr>
      <w:r>
        <w:rPr>
          <w:rFonts w:hint="eastAsia"/>
          <w:b/>
          <w:sz w:val="32"/>
          <w:szCs w:val="32"/>
        </w:rPr>
        <w:t>深化交通运输领域信用监管制度。</w:t>
      </w:r>
      <w:r>
        <w:rPr>
          <w:rFonts w:hint="eastAsia"/>
          <w:sz w:val="32"/>
          <w:szCs w:val="32"/>
        </w:rPr>
        <w:t>统筹政府监管和市场调节作用，完善交通运输领域的信用评价指标体系和信用评价管理机制，深化事中事后监管模式改革，建设以信用为基础的新型监管机制。深度参与“交通建设市场一体化综合管理系统”平台建设，加快构建交通运输行业信用信息数据库，实现“大交通”信用信息归集共享。推动信用评价、信用奖惩等信息与行业管理业务融合共享，加强信用评价结果跨部门应用。</w:t>
      </w:r>
    </w:p>
    <w:p>
      <w:pPr>
        <w:ind w:firstLine="643"/>
        <w:jc w:val="left"/>
        <w:rPr>
          <w:sz w:val="32"/>
          <w:szCs w:val="32"/>
        </w:rPr>
      </w:pPr>
      <w:r>
        <w:rPr>
          <w:rFonts w:hint="eastAsia"/>
          <w:b/>
          <w:sz w:val="32"/>
          <w:szCs w:val="32"/>
        </w:rPr>
        <w:t>提升社会治理监督水平。</w:t>
      </w:r>
      <w:r>
        <w:rPr>
          <w:rFonts w:hint="eastAsia"/>
          <w:sz w:val="32"/>
          <w:szCs w:val="32"/>
        </w:rPr>
        <w:t>广泛接受社会监督，充分利用“互联网+”政务、“12345”政务咨询服务热线等畅通公众投诉渠道，健全快速反应机制。鼓励引导行业协会积极参与行业治理，强化协会在规范行业秩序、反映企业诉求、建立标准规范等方面的作用。鼓励探索金融、保险等第三方机构参与运输企业安全管理模式。推进公共服务领域数据集中和共享，构建公众参与、企业自律、政府考评“三位一体”的行业综合监管体系。</w:t>
      </w:r>
    </w:p>
    <w:p>
      <w:pPr>
        <w:pStyle w:val="30"/>
        <w:spacing w:before="0" w:beforeAutospacing="0" w:after="0" w:afterAutospacing="0" w:line="360" w:lineRule="auto"/>
        <w:ind w:firstLine="560" w:firstLineChars="200"/>
        <w:jc w:val="both"/>
        <w:rPr>
          <w:rFonts w:ascii="Times New Roman" w:hAnsi="Times New Roman"/>
          <w:color w:val="auto"/>
          <w:sz w:val="28"/>
          <w:szCs w:val="28"/>
        </w:rPr>
      </w:pPr>
    </w:p>
    <w:p>
      <w:pPr>
        <w:ind w:firstLine="640"/>
        <w:rPr>
          <w:sz w:val="32"/>
        </w:rPr>
      </w:pPr>
    </w:p>
    <w:bookmarkEnd w:id="49"/>
    <w:bookmarkEnd w:id="50"/>
    <w:p>
      <w:pPr>
        <w:ind w:firstLine="560"/>
        <w:rPr>
          <w:rFonts w:ascii="仿宋" w:hAnsi="仿宋" w:eastAsia="仿宋"/>
        </w:rPr>
      </w:pPr>
    </w:p>
    <w:p>
      <w:pPr>
        <w:pStyle w:val="3"/>
        <w:tabs>
          <w:tab w:val="left" w:pos="630"/>
          <w:tab w:val="clear" w:pos="0"/>
        </w:tabs>
        <w:rPr>
          <w:rFonts w:ascii="Times New Roman" w:hAnsi="Times New Roman"/>
        </w:rPr>
        <w:sectPr>
          <w:pgSz w:w="11906" w:h="16838"/>
          <w:pgMar w:top="1574" w:right="1418" w:bottom="1701" w:left="1701" w:header="851" w:footer="921" w:gutter="0"/>
          <w:cols w:space="720" w:num="1"/>
          <w:docGrid w:type="lines" w:linePitch="312" w:charSpace="0"/>
        </w:sectPr>
      </w:pPr>
    </w:p>
    <w:p>
      <w:pPr>
        <w:pStyle w:val="57"/>
        <w:numPr>
          <w:ilvl w:val="0"/>
          <w:numId w:val="1"/>
        </w:numPr>
        <w:tabs>
          <w:tab w:val="left" w:pos="462"/>
          <w:tab w:val="left" w:pos="540"/>
          <w:tab w:val="left" w:pos="966"/>
          <w:tab w:val="left" w:pos="1145"/>
          <w:tab w:val="clear" w:pos="0"/>
        </w:tabs>
        <w:snapToGrid w:val="0"/>
        <w:spacing w:before="156" w:beforeLines="50" w:after="0"/>
        <w:jc w:val="center"/>
        <w:rPr>
          <w:rFonts w:ascii="Times New Roman" w:cs="Times New Roman"/>
          <w:sz w:val="36"/>
          <w:szCs w:val="36"/>
        </w:rPr>
      </w:pPr>
      <w:bookmarkStart w:id="100" w:name="_Toc24176"/>
      <w:bookmarkStart w:id="101" w:name="_Toc419049331"/>
      <w:bookmarkStart w:id="102" w:name="_Toc26175"/>
      <w:bookmarkStart w:id="103" w:name="_Toc419053426"/>
      <w:bookmarkStart w:id="104" w:name="_Toc10478"/>
      <w:bookmarkStart w:id="105" w:name="_Toc30943"/>
      <w:r>
        <w:rPr>
          <w:rFonts w:hint="eastAsia" w:ascii="Times New Roman" w:cs="Times New Roman"/>
          <w:sz w:val="36"/>
          <w:szCs w:val="36"/>
        </w:rPr>
        <w:t>保障措施</w:t>
      </w:r>
      <w:bookmarkEnd w:id="100"/>
      <w:bookmarkEnd w:id="101"/>
      <w:bookmarkEnd w:id="102"/>
      <w:bookmarkEnd w:id="103"/>
      <w:bookmarkEnd w:id="104"/>
      <w:bookmarkEnd w:id="105"/>
    </w:p>
    <w:p>
      <w:pPr>
        <w:pStyle w:val="3"/>
        <w:tabs>
          <w:tab w:val="left" w:pos="630"/>
          <w:tab w:val="clear" w:pos="0"/>
        </w:tabs>
        <w:spacing w:before="468" w:beforeLines="150" w:after="240"/>
        <w:rPr>
          <w:rFonts w:ascii="Times New Roman" w:hAnsi="Times New Roman"/>
          <w:sz w:val="32"/>
        </w:rPr>
      </w:pPr>
      <w:bookmarkStart w:id="106" w:name="_Toc8758"/>
      <w:bookmarkStart w:id="107" w:name="_Toc27064"/>
      <w:r>
        <w:rPr>
          <w:rFonts w:hint="eastAsia" w:ascii="Times New Roman" w:hAnsi="Times New Roman"/>
          <w:sz w:val="32"/>
        </w:rPr>
        <w:t>加强组织领导</w:t>
      </w:r>
      <w:bookmarkEnd w:id="106"/>
      <w:bookmarkEnd w:id="107"/>
    </w:p>
    <w:p>
      <w:pPr>
        <w:ind w:firstLine="640"/>
        <w:jc w:val="left"/>
        <w:rPr>
          <w:rFonts w:ascii="仿宋" w:hAnsi="仿宋" w:eastAsia="仿宋"/>
          <w:sz w:val="32"/>
          <w:szCs w:val="32"/>
        </w:rPr>
      </w:pPr>
      <w:r>
        <w:rPr>
          <w:rFonts w:hint="eastAsia" w:ascii="仿宋" w:hAnsi="仿宋" w:eastAsia="仿宋"/>
          <w:sz w:val="32"/>
          <w:szCs w:val="32"/>
        </w:rPr>
        <w:t>加强同发改、财政、规划、环保、旅游、交通、商务等部门沟通协调，强化部门协调联动，统筹推进相关工作，加快项目规划选址、土地、环评等审批工作，缩短项目前期工作周期，确保重点工程、重大项目按期开工建设。</w:t>
      </w:r>
    </w:p>
    <w:p>
      <w:pPr>
        <w:pStyle w:val="3"/>
        <w:tabs>
          <w:tab w:val="left" w:pos="630"/>
          <w:tab w:val="clear" w:pos="0"/>
        </w:tabs>
        <w:spacing w:before="468" w:beforeLines="150" w:after="240"/>
        <w:rPr>
          <w:rFonts w:ascii="Times New Roman" w:hAnsi="Times New Roman"/>
          <w:sz w:val="32"/>
        </w:rPr>
      </w:pPr>
      <w:bookmarkStart w:id="108" w:name="_Toc13239"/>
      <w:bookmarkStart w:id="109" w:name="_Toc31551"/>
      <w:bookmarkStart w:id="110" w:name="_Toc47702974"/>
      <w:r>
        <w:rPr>
          <w:rFonts w:hint="eastAsia" w:ascii="Times New Roman" w:hAnsi="Times New Roman"/>
          <w:sz w:val="32"/>
        </w:rPr>
        <w:t>注重规划衔接</w:t>
      </w:r>
      <w:bookmarkEnd w:id="108"/>
      <w:bookmarkEnd w:id="109"/>
    </w:p>
    <w:p>
      <w:pPr>
        <w:ind w:firstLine="640"/>
        <w:jc w:val="left"/>
        <w:rPr>
          <w:rFonts w:ascii="仿宋" w:hAnsi="仿宋" w:eastAsia="仿宋"/>
          <w:sz w:val="32"/>
          <w:szCs w:val="32"/>
        </w:rPr>
      </w:pPr>
      <w:r>
        <w:rPr>
          <w:rFonts w:hint="eastAsia" w:ascii="仿宋" w:hAnsi="仿宋" w:eastAsia="仿宋" w:cs="仿宋"/>
          <w:sz w:val="32"/>
          <w:szCs w:val="32"/>
          <w:shd w:val="clear" w:color="auto" w:fill="FFFFFF"/>
        </w:rPr>
        <w:t>注重与国土空间规划紧密衔接，落实好重要通道、重大设施、重大项目的用地保障，做好战略性空间储备用地。积极与安徽省、六安市交通运输“十五五”发展规划对接，争取将重大项目纳入国家、省级、市级项目库。加强与等邻近县市沟通，在线路走向、建设标准、建设时序等方面做好协调，确保交通网络顺畅衔接。</w:t>
      </w:r>
      <w:r>
        <w:rPr>
          <w:rFonts w:hint="eastAsia" w:ascii="仿宋_GB2312"/>
          <w:bCs/>
          <w:kern w:val="0"/>
          <w:sz w:val="32"/>
          <w:szCs w:val="32"/>
        </w:rPr>
        <w:t>加强与六安市、叶集区国民经济“十五五”发展规划的衔接，更好服务经济社会发展需求，保障规划项目顺利实施。</w:t>
      </w:r>
    </w:p>
    <w:p>
      <w:pPr>
        <w:pStyle w:val="3"/>
        <w:tabs>
          <w:tab w:val="left" w:pos="630"/>
          <w:tab w:val="clear" w:pos="0"/>
        </w:tabs>
        <w:spacing w:before="468" w:beforeLines="150" w:after="240"/>
        <w:rPr>
          <w:rFonts w:ascii="Times New Roman" w:hAnsi="Times New Roman"/>
          <w:sz w:val="32"/>
        </w:rPr>
      </w:pPr>
      <w:bookmarkStart w:id="111" w:name="_Toc14501"/>
      <w:bookmarkStart w:id="112" w:name="_Toc9266"/>
      <w:r>
        <w:rPr>
          <w:rFonts w:hint="eastAsia" w:ascii="Times New Roman" w:hAnsi="Times New Roman"/>
          <w:sz w:val="32"/>
        </w:rPr>
        <w:t>拓宽融资渠道</w:t>
      </w:r>
      <w:bookmarkEnd w:id="111"/>
      <w:bookmarkEnd w:id="112"/>
    </w:p>
    <w:p>
      <w:pPr>
        <w:ind w:firstLine="640"/>
        <w:jc w:val="left"/>
        <w:rPr>
          <w:rFonts w:ascii="仿宋" w:hAnsi="仿宋" w:eastAsia="仿宋"/>
          <w:sz w:val="32"/>
          <w:szCs w:val="32"/>
        </w:rPr>
      </w:pPr>
      <w:r>
        <w:rPr>
          <w:rFonts w:hint="eastAsia" w:ascii="仿宋" w:hAnsi="仿宋" w:eastAsia="仿宋" w:cs="仿宋"/>
          <w:sz w:val="32"/>
          <w:szCs w:val="32"/>
          <w:shd w:val="clear" w:color="auto" w:fill="FFFFFF"/>
        </w:rPr>
        <w:t>积极争取国家政策支持，积极争取车购税补助资金支持，持续跟踪交通运输部在综合客货运场站、普通国省道公共基础设施等领域“十五五”期投资政策的实施情况。大力争取省市两级政策支持，积极争取省交通运输厅在安排投资、银行贷款、专项债券等向大别山革命老区倾斜，提升地方公共财政对交通发展公益性投入的保障能力，落实市县政府事权和支出责任。深化交通运输领域投融资改革，充分发挥市场配置资源的决定性作用，鼓励民资和外资投资建设和运营公路、通用机场、枢纽站场等交通基础设施，政府建立相应的投资、补贴、价格、土地开发等协同机制，根据项目具体情况分别采取投资补助、运营补贴、贷款贴息、使用者付费、购买服务等方式引导社会资本进入，建立健全社会资本准入和退出机制，进一步改善和完善社会资本投资环境。</w:t>
      </w:r>
    </w:p>
    <w:p>
      <w:pPr>
        <w:pStyle w:val="3"/>
        <w:tabs>
          <w:tab w:val="left" w:pos="630"/>
          <w:tab w:val="clear" w:pos="0"/>
        </w:tabs>
        <w:spacing w:before="468" w:beforeLines="150" w:after="240"/>
        <w:rPr>
          <w:rFonts w:ascii="Times New Roman" w:hAnsi="Times New Roman"/>
          <w:sz w:val="32"/>
        </w:rPr>
      </w:pPr>
      <w:bookmarkStart w:id="113" w:name="_Toc8175"/>
      <w:bookmarkStart w:id="114" w:name="_Toc19912"/>
      <w:bookmarkStart w:id="115" w:name="_Toc17698"/>
      <w:r>
        <w:rPr>
          <w:rFonts w:hint="eastAsia" w:ascii="Times New Roman" w:hAnsi="Times New Roman"/>
          <w:sz w:val="32"/>
        </w:rPr>
        <w:t>强化</w:t>
      </w:r>
      <w:bookmarkEnd w:id="113"/>
      <w:r>
        <w:rPr>
          <w:rFonts w:hint="eastAsia" w:ascii="Times New Roman" w:hAnsi="Times New Roman"/>
          <w:sz w:val="32"/>
        </w:rPr>
        <w:t>规划评估</w:t>
      </w:r>
      <w:bookmarkEnd w:id="114"/>
      <w:bookmarkEnd w:id="115"/>
    </w:p>
    <w:p>
      <w:pPr>
        <w:ind w:firstLine="640"/>
        <w:jc w:val="left"/>
        <w:rPr>
          <w:rFonts w:ascii="仿宋" w:hAnsi="仿宋" w:eastAsia="仿宋"/>
          <w:sz w:val="32"/>
          <w:szCs w:val="32"/>
        </w:rPr>
      </w:pPr>
      <w:r>
        <w:rPr>
          <w:rFonts w:hint="eastAsia" w:ascii="仿宋" w:hAnsi="仿宋" w:eastAsia="仿宋" w:cs="仿宋"/>
          <w:sz w:val="32"/>
          <w:szCs w:val="32"/>
          <w:shd w:val="clear" w:color="auto" w:fill="FFFFFF"/>
        </w:rPr>
        <w:t>强化规划实施进展的动态监测和执行情况的评估工作，建立规划动态管理、评估、调控和修订机制，及时组织开展“十五五”规划中期评估，结合国民经济和社会发展实际及评估结果，对规划进行动态修订。</w:t>
      </w:r>
    </w:p>
    <w:p>
      <w:pPr>
        <w:pStyle w:val="3"/>
        <w:tabs>
          <w:tab w:val="left" w:pos="630"/>
          <w:tab w:val="clear" w:pos="0"/>
        </w:tabs>
        <w:spacing w:before="468" w:beforeLines="150" w:after="240"/>
        <w:rPr>
          <w:rFonts w:ascii="Times New Roman" w:hAnsi="Times New Roman"/>
          <w:sz w:val="32"/>
        </w:rPr>
      </w:pPr>
      <w:bookmarkStart w:id="116" w:name="_Toc10026"/>
      <w:bookmarkStart w:id="117" w:name="_Toc31878"/>
      <w:r>
        <w:rPr>
          <w:rFonts w:hint="eastAsia" w:ascii="Times New Roman" w:hAnsi="Times New Roman"/>
          <w:sz w:val="32"/>
        </w:rPr>
        <w:t>加强要素保障</w:t>
      </w:r>
      <w:bookmarkEnd w:id="116"/>
      <w:bookmarkEnd w:id="117"/>
    </w:p>
    <w:bookmarkEnd w:id="110"/>
    <w:p>
      <w:pPr>
        <w:widowControl/>
        <w:wordWrap w:val="0"/>
        <w:ind w:firstLine="643"/>
        <w:jc w:val="left"/>
        <w:rPr>
          <w:rFonts w:ascii="仿宋_GB2312"/>
          <w:bCs/>
          <w:kern w:val="0"/>
          <w:sz w:val="32"/>
          <w:szCs w:val="32"/>
        </w:rPr>
      </w:pPr>
      <w:r>
        <w:rPr>
          <w:rFonts w:hint="eastAsia" w:ascii="仿宋_GB2312"/>
          <w:b/>
          <w:bCs/>
          <w:kern w:val="0"/>
          <w:sz w:val="32"/>
          <w:szCs w:val="32"/>
        </w:rPr>
        <w:t>加强土地要素保障。</w:t>
      </w:r>
      <w:r>
        <w:rPr>
          <w:rFonts w:hint="eastAsia" w:ascii="仿宋_GB2312"/>
          <w:bCs/>
          <w:kern w:val="0"/>
          <w:sz w:val="32"/>
          <w:szCs w:val="32"/>
        </w:rPr>
        <w:t>加强与国土空间规划和“三区三线”的协调统筹，及时将交通重大项目纳入国土空间规划“一张图”，提高交通用地复合程度和土地资源利用效率，加大对交通基础设施建设用地、用林支持，提高用地审查报批效率。</w:t>
      </w:r>
    </w:p>
    <w:p>
      <w:pPr>
        <w:widowControl/>
        <w:wordWrap w:val="0"/>
        <w:ind w:firstLine="643"/>
        <w:jc w:val="left"/>
        <w:rPr>
          <w:rFonts w:ascii="仿宋_GB2312"/>
          <w:bCs/>
          <w:kern w:val="0"/>
          <w:sz w:val="32"/>
          <w:szCs w:val="32"/>
        </w:rPr>
      </w:pPr>
      <w:r>
        <w:rPr>
          <w:rFonts w:hint="eastAsia" w:ascii="仿宋_GB2312"/>
          <w:b/>
          <w:bCs/>
          <w:kern w:val="0"/>
          <w:sz w:val="32"/>
          <w:szCs w:val="32"/>
        </w:rPr>
        <w:t>强化环境资源保障。</w:t>
      </w:r>
      <w:r>
        <w:rPr>
          <w:rFonts w:hint="eastAsia" w:ascii="仿宋_GB2312"/>
          <w:bCs/>
          <w:kern w:val="0"/>
          <w:sz w:val="32"/>
          <w:szCs w:val="32"/>
        </w:rPr>
        <w:t>妥善处理好生态环境保护与重大基础设施建设的关系，优先避让环境敏感区域。争取航道、公路等重大项目纳入国家重点项目，在更高层次强化与自然资源部门、生态环境部门等的协调。</w:t>
      </w:r>
    </w:p>
    <w:p>
      <w:pPr>
        <w:widowControl/>
        <w:ind w:firstLine="643"/>
        <w:jc w:val="left"/>
        <w:rPr>
          <w:rFonts w:ascii="仿宋_GB2312"/>
          <w:bCs/>
          <w:kern w:val="0"/>
          <w:sz w:val="32"/>
          <w:szCs w:val="32"/>
        </w:rPr>
      </w:pPr>
      <w:r>
        <w:rPr>
          <w:rFonts w:hint="eastAsia" w:ascii="仿宋_GB2312"/>
          <w:b/>
          <w:bCs/>
          <w:kern w:val="0"/>
          <w:sz w:val="32"/>
          <w:szCs w:val="32"/>
        </w:rPr>
        <w:t>加强专业人才保障。</w:t>
      </w:r>
      <w:r>
        <w:rPr>
          <w:rFonts w:hint="eastAsia" w:ascii="仿宋_GB2312"/>
          <w:bCs/>
          <w:kern w:val="0"/>
          <w:sz w:val="32"/>
          <w:szCs w:val="32"/>
        </w:rPr>
        <w:t>鼓励高等院校、科研院所、交通企业通过产教融合、校企合作等方式，共同培养公路养护、综合执法、多式联运等交通专业人才，提升行业管理服务水平。依托省内相关研究单位，强化交通发展智库建设。</w:t>
      </w:r>
    </w:p>
    <w:p>
      <w:pPr>
        <w:ind w:firstLine="560"/>
        <w:jc w:val="left"/>
        <w:rPr>
          <w:rFonts w:ascii="仿宋" w:hAnsi="仿宋" w:eastAsia="仿宋"/>
        </w:rPr>
      </w:pPr>
    </w:p>
    <w:p>
      <w:pPr>
        <w:pStyle w:val="16"/>
        <w:rPr>
          <w:rFonts w:ascii="宋体" w:hAnsi="宋体"/>
          <w:sz w:val="28"/>
        </w:rPr>
        <w:sectPr>
          <w:pgSz w:w="11906" w:h="16838"/>
          <w:pgMar w:top="1574" w:right="1418" w:bottom="1701" w:left="1701" w:header="851" w:footer="921" w:gutter="0"/>
          <w:cols w:space="720" w:num="1"/>
          <w:docGrid w:type="lines" w:linePitch="312" w:charSpace="0"/>
        </w:sectPr>
      </w:pPr>
    </w:p>
    <w:p>
      <w:pPr>
        <w:pStyle w:val="16"/>
        <w:outlineLvl w:val="0"/>
        <w:rPr>
          <w:rFonts w:ascii="宋体" w:hAnsi="宋体"/>
          <w:sz w:val="28"/>
        </w:rPr>
      </w:pPr>
      <w:bookmarkStart w:id="118" w:name="_Toc22536"/>
      <w:r>
        <w:rPr>
          <w:rFonts w:hint="eastAsia" w:ascii="宋体" w:hAnsi="宋体"/>
          <w:sz w:val="28"/>
        </w:rPr>
        <w:t>附表：叶集区“十五五”交通运输建设项目一览表</w:t>
      </w:r>
      <w:bookmarkEnd w:id="118"/>
    </w:p>
    <w:tbl>
      <w:tblPr>
        <w:tblStyle w:val="32"/>
        <w:tblW w:w="4973" w:type="pct"/>
        <w:tblInd w:w="0" w:type="dxa"/>
        <w:tblLayout w:type="fixed"/>
        <w:tblCellMar>
          <w:top w:w="0" w:type="dxa"/>
          <w:left w:w="108" w:type="dxa"/>
          <w:bottom w:w="0" w:type="dxa"/>
          <w:right w:w="108" w:type="dxa"/>
        </w:tblCellMar>
      </w:tblPr>
      <w:tblGrid>
        <w:gridCol w:w="839"/>
        <w:gridCol w:w="538"/>
        <w:gridCol w:w="1739"/>
        <w:gridCol w:w="690"/>
        <w:gridCol w:w="5812"/>
        <w:gridCol w:w="1003"/>
        <w:gridCol w:w="1061"/>
        <w:gridCol w:w="1304"/>
        <w:gridCol w:w="1317"/>
        <w:gridCol w:w="1288"/>
        <w:gridCol w:w="735"/>
        <w:gridCol w:w="1049"/>
        <w:gridCol w:w="941"/>
        <w:gridCol w:w="1139"/>
        <w:gridCol w:w="1185"/>
      </w:tblGrid>
      <w:tr>
        <w:tblPrEx>
          <w:tblCellMar>
            <w:top w:w="0" w:type="dxa"/>
            <w:left w:w="108" w:type="dxa"/>
            <w:bottom w:w="0" w:type="dxa"/>
            <w:right w:w="108" w:type="dxa"/>
          </w:tblCellMar>
        </w:tblPrEx>
        <w:trPr>
          <w:cantSplit/>
          <w:trHeight w:val="283" w:hRule="atLeast"/>
          <w:tblHeader/>
        </w:trPr>
        <w:tc>
          <w:tcPr>
            <w:tcW w:w="203" w:type="pct"/>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hint="eastAsia" w:eastAsia="宋体"/>
                <w:sz w:val="21"/>
                <w:szCs w:val="21"/>
              </w:rPr>
              <w:t>类型</w:t>
            </w:r>
          </w:p>
        </w:tc>
        <w:tc>
          <w:tcPr>
            <w:tcW w:w="130" w:type="pct"/>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Style w:val="110"/>
                <w:color w:val="auto"/>
                <w:lang w:bidi="ar"/>
              </w:rPr>
            </w:pPr>
            <w:r>
              <w:rPr>
                <w:rStyle w:val="110"/>
                <w:rFonts w:hint="eastAsia"/>
                <w:color w:val="auto"/>
                <w:lang w:bidi="ar"/>
              </w:rPr>
              <w:t>序号</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黑体" w:hAnsi="宋体" w:eastAsia="黑体" w:cs="黑体"/>
                <w:sz w:val="21"/>
                <w:szCs w:val="21"/>
              </w:rPr>
            </w:pPr>
            <w:r>
              <w:rPr>
                <w:rFonts w:hint="eastAsia" w:ascii="黑体" w:hAnsi="宋体" w:eastAsia="黑体" w:cs="黑体"/>
                <w:kern w:val="0"/>
                <w:sz w:val="21"/>
                <w:szCs w:val="21"/>
                <w:lang w:bidi="ar"/>
              </w:rPr>
              <w:t>项目名称</w:t>
            </w:r>
          </w:p>
        </w:tc>
        <w:tc>
          <w:tcPr>
            <w:tcW w:w="1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黑体" w:hAnsi="宋体" w:eastAsia="黑体" w:cs="黑体"/>
                <w:sz w:val="21"/>
                <w:szCs w:val="21"/>
              </w:rPr>
            </w:pPr>
            <w:r>
              <w:rPr>
                <w:rFonts w:hint="eastAsia" w:ascii="黑体" w:hAnsi="宋体" w:eastAsia="黑体" w:cs="黑体"/>
                <w:kern w:val="0"/>
                <w:sz w:val="21"/>
                <w:szCs w:val="21"/>
                <w:lang w:bidi="ar"/>
              </w:rPr>
              <w:t>建设属性</w:t>
            </w:r>
          </w:p>
        </w:tc>
        <w:tc>
          <w:tcPr>
            <w:tcW w:w="1408" w:type="pct"/>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建设内容与规模</w:t>
            </w:r>
          </w:p>
        </w:tc>
        <w:tc>
          <w:tcPr>
            <w:tcW w:w="16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预计投资来源（万元）</w:t>
            </w:r>
          </w:p>
        </w:tc>
        <w:tc>
          <w:tcPr>
            <w:tcW w:w="2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黑体" w:hAnsi="宋体" w:eastAsia="黑体" w:cs="黑体"/>
                <w:sz w:val="21"/>
                <w:szCs w:val="21"/>
              </w:rPr>
            </w:pPr>
            <w:r>
              <w:rPr>
                <w:rFonts w:hint="eastAsia" w:ascii="黑体" w:hAnsi="宋体" w:eastAsia="黑体" w:cs="黑体"/>
                <w:kern w:val="0"/>
                <w:sz w:val="21"/>
                <w:szCs w:val="21"/>
                <w:lang w:bidi="ar"/>
              </w:rPr>
              <w:t>（拟）开工时间（明确到年）</w:t>
            </w:r>
          </w:p>
        </w:tc>
        <w:tc>
          <w:tcPr>
            <w:tcW w:w="2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黑体" w:hAnsi="宋体" w:eastAsia="黑体" w:cs="黑体"/>
                <w:sz w:val="21"/>
                <w:szCs w:val="21"/>
              </w:rPr>
            </w:pPr>
            <w:r>
              <w:rPr>
                <w:rFonts w:hint="eastAsia" w:ascii="黑体" w:hAnsi="宋体" w:eastAsia="黑体" w:cs="黑体"/>
                <w:kern w:val="0"/>
                <w:sz w:val="21"/>
                <w:szCs w:val="21"/>
                <w:lang w:bidi="ar"/>
              </w:rPr>
              <w:t>拟建成时间（明确到年）</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黑体" w:hAnsi="宋体" w:eastAsia="黑体" w:cs="黑体"/>
                <w:sz w:val="21"/>
                <w:szCs w:val="21"/>
              </w:rPr>
            </w:pPr>
            <w:r>
              <w:rPr>
                <w:rFonts w:hint="eastAsia" w:ascii="黑体" w:hAnsi="宋体" w:eastAsia="黑体" w:cs="黑体"/>
                <w:kern w:val="0"/>
                <w:sz w:val="21"/>
                <w:szCs w:val="21"/>
                <w:lang w:bidi="ar"/>
              </w:rPr>
              <w:t>牵头责任单位</w:t>
            </w:r>
          </w:p>
        </w:tc>
        <w:tc>
          <w:tcPr>
            <w:tcW w:w="2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备注</w:t>
            </w:r>
          </w:p>
        </w:tc>
      </w:tr>
      <w:tr>
        <w:tblPrEx>
          <w:tblCellMar>
            <w:top w:w="0" w:type="dxa"/>
            <w:left w:w="108" w:type="dxa"/>
            <w:bottom w:w="0" w:type="dxa"/>
            <w:right w:w="108" w:type="dxa"/>
          </w:tblCellMar>
        </w:tblPrEx>
        <w:trPr>
          <w:cantSplit/>
          <w:trHeight w:val="283" w:hRule="atLeast"/>
          <w:tblHeader/>
        </w:trPr>
        <w:tc>
          <w:tcPr>
            <w:tcW w:w="203"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rPr>
                <w:rFonts w:eastAsia="宋体"/>
                <w:sz w:val="21"/>
                <w:szCs w:val="21"/>
              </w:rPr>
            </w:pPr>
          </w:p>
        </w:tc>
        <w:tc>
          <w:tcPr>
            <w:tcW w:w="130" w:type="pct"/>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宋体" w:eastAsia="黑体" w:cs="黑体"/>
                <w:sz w:val="21"/>
                <w:szCs w:val="21"/>
              </w:rPr>
            </w:pPr>
          </w:p>
        </w:tc>
        <w:tc>
          <w:tcPr>
            <w:tcW w:w="1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宋体" w:eastAsia="黑体" w:cs="黑体"/>
                <w:sz w:val="21"/>
                <w:szCs w:val="21"/>
              </w:rPr>
            </w:pPr>
          </w:p>
        </w:tc>
        <w:tc>
          <w:tcPr>
            <w:tcW w:w="1408"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rPr>
                <w:rFonts w:eastAsia="宋体"/>
                <w:sz w:val="21"/>
                <w:szCs w:val="21"/>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概算总投资</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中央预算内投资</w:t>
            </w: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中央财政性建设资金</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地方财政或平台出资</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社会资本出资或自筹</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Style w:val="110"/>
                <w:color w:val="auto"/>
                <w:lang w:bidi="ar"/>
              </w:rPr>
              <w:t>银行贷款</w:t>
            </w:r>
          </w:p>
        </w:tc>
        <w:tc>
          <w:tcPr>
            <w:tcW w:w="2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宋体" w:eastAsia="黑体" w:cs="黑体"/>
                <w:sz w:val="21"/>
                <w:szCs w:val="21"/>
              </w:rPr>
            </w:pPr>
          </w:p>
        </w:tc>
        <w:tc>
          <w:tcPr>
            <w:tcW w:w="2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宋体" w:eastAsia="黑体" w:cs="黑体"/>
                <w:sz w:val="21"/>
                <w:szCs w:val="21"/>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宋体" w:eastAsia="黑体" w:cs="黑体"/>
                <w:sz w:val="21"/>
                <w:szCs w:val="21"/>
              </w:rPr>
            </w:pPr>
          </w:p>
        </w:tc>
        <w:tc>
          <w:tcPr>
            <w:tcW w:w="2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r>
      <w:tr>
        <w:tblPrEx>
          <w:tblCellMar>
            <w:top w:w="0" w:type="dxa"/>
            <w:left w:w="108" w:type="dxa"/>
            <w:bottom w:w="0" w:type="dxa"/>
            <w:right w:w="108" w:type="dxa"/>
          </w:tblCellMar>
        </w:tblPrEx>
        <w:trPr>
          <w:cantSplit/>
          <w:trHeight w:val="503" w:hRule="atLeast"/>
        </w:trPr>
        <w:tc>
          <w:tcPr>
            <w:tcW w:w="203"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996" w:type="pct"/>
            <w:gridSpan w:val="3"/>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hint="eastAsia" w:eastAsia="宋体"/>
                <w:b/>
                <w:bCs/>
                <w:sz w:val="21"/>
                <w:szCs w:val="21"/>
              </w:rPr>
              <w:t>总  计</w:t>
            </w: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hint="eastAsia" w:eastAsia="宋体"/>
                <w:sz w:val="21"/>
                <w:szCs w:val="21"/>
              </w:rPr>
              <w:t>1481758</w:t>
            </w:r>
          </w:p>
        </w:tc>
        <w:tc>
          <w:tcPr>
            <w:tcW w:w="257"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textAlignment w:val="center"/>
              <w:rPr>
                <w:rFonts w:eastAsia="宋体"/>
                <w:sz w:val="22"/>
                <w:szCs w:val="22"/>
              </w:rPr>
            </w:pPr>
          </w:p>
        </w:tc>
        <w:tc>
          <w:tcPr>
            <w:tcW w:w="316"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rPr>
                <w:rFonts w:eastAsia="宋体"/>
                <w:sz w:val="22"/>
                <w:szCs w:val="22"/>
              </w:rPr>
            </w:pPr>
          </w:p>
        </w:tc>
        <w:tc>
          <w:tcPr>
            <w:tcW w:w="319"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textAlignment w:val="center"/>
              <w:rPr>
                <w:rFonts w:eastAsia="宋体"/>
                <w:sz w:val="22"/>
                <w:szCs w:val="22"/>
              </w:rPr>
            </w:pPr>
          </w:p>
        </w:tc>
        <w:tc>
          <w:tcPr>
            <w:tcW w:w="312"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rPr>
                <w:rFonts w:eastAsia="宋体"/>
                <w:sz w:val="22"/>
                <w:szCs w:val="22"/>
              </w:rPr>
            </w:pP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r>
      <w:tr>
        <w:tblPrEx>
          <w:tblCellMar>
            <w:top w:w="0" w:type="dxa"/>
            <w:left w:w="108" w:type="dxa"/>
            <w:bottom w:w="0" w:type="dxa"/>
            <w:right w:w="108" w:type="dxa"/>
          </w:tblCellMar>
        </w:tblPrEx>
        <w:trPr>
          <w:cantSplit/>
          <w:trHeight w:val="503" w:hRule="atLeast"/>
        </w:trPr>
        <w:tc>
          <w:tcPr>
            <w:tcW w:w="203"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42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sz w:val="21"/>
                <w:szCs w:val="21"/>
              </w:rPr>
              <w:t>高速公路</w:t>
            </w:r>
          </w:p>
        </w:tc>
        <w:tc>
          <w:tcPr>
            <w:tcW w:w="16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1408"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257"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textAlignment w:val="center"/>
              <w:rPr>
                <w:rFonts w:eastAsia="宋体"/>
                <w:sz w:val="22"/>
                <w:szCs w:val="22"/>
              </w:rPr>
            </w:pPr>
          </w:p>
        </w:tc>
        <w:tc>
          <w:tcPr>
            <w:tcW w:w="316"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rPr>
                <w:rFonts w:eastAsia="宋体"/>
                <w:sz w:val="22"/>
                <w:szCs w:val="22"/>
              </w:rPr>
            </w:pPr>
          </w:p>
        </w:tc>
        <w:tc>
          <w:tcPr>
            <w:tcW w:w="319"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textAlignment w:val="center"/>
              <w:rPr>
                <w:rFonts w:eastAsia="宋体"/>
                <w:sz w:val="22"/>
                <w:szCs w:val="22"/>
              </w:rPr>
            </w:pPr>
          </w:p>
        </w:tc>
        <w:tc>
          <w:tcPr>
            <w:tcW w:w="312" w:type="pct"/>
            <w:tcBorders>
              <w:top w:val="single" w:color="000000" w:sz="4" w:space="0"/>
              <w:left w:val="single" w:color="000000" w:sz="4" w:space="0"/>
              <w:bottom w:val="single" w:color="auto" w:sz="4" w:space="0"/>
              <w:right w:val="single" w:color="000000" w:sz="4" w:space="0"/>
            </w:tcBorders>
            <w:shd w:val="clear" w:color="auto" w:fill="FFFFFF"/>
            <w:vAlign w:val="center"/>
          </w:tcPr>
          <w:p>
            <w:pPr>
              <w:widowControl/>
              <w:spacing w:line="240" w:lineRule="auto"/>
              <w:ind w:firstLine="0" w:firstLineChars="0"/>
              <w:jc w:val="center"/>
              <w:rPr>
                <w:rFonts w:eastAsia="宋体"/>
                <w:sz w:val="22"/>
                <w:szCs w:val="22"/>
              </w:rPr>
            </w:pP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r>
      <w:tr>
        <w:tblPrEx>
          <w:tblCellMar>
            <w:top w:w="0" w:type="dxa"/>
            <w:left w:w="108" w:type="dxa"/>
            <w:bottom w:w="0" w:type="dxa"/>
            <w:right w:w="108" w:type="dxa"/>
          </w:tblCellMar>
        </w:tblPrEx>
        <w:trPr>
          <w:cantSplit/>
          <w:trHeight w:val="1093" w:hRule="atLeast"/>
        </w:trPr>
        <w:tc>
          <w:tcPr>
            <w:tcW w:w="203" w:type="pct"/>
            <w:vMerge w:val="restart"/>
            <w:tcBorders>
              <w:top w:val="single" w:color="000000" w:sz="4" w:space="0"/>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sz w:val="21"/>
                <w:szCs w:val="21"/>
              </w:rPr>
              <w:t>新开工项目</w:t>
            </w: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w:t>
            </w:r>
          </w:p>
        </w:tc>
        <w:tc>
          <w:tcPr>
            <w:tcW w:w="42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S65</w:t>
            </w:r>
            <w:r>
              <w:rPr>
                <w:rStyle w:val="111"/>
                <w:color w:val="auto"/>
                <w:lang w:bidi="ar"/>
              </w:rPr>
              <w:t>霍邱至金寨高速叶集段新建工程</w:t>
            </w:r>
          </w:p>
        </w:tc>
        <w:tc>
          <w:tcPr>
            <w:tcW w:w="16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在霍邱县接拟建</w:t>
            </w:r>
            <w:r>
              <w:rPr>
                <w:rStyle w:val="114"/>
                <w:rFonts w:eastAsia="宋体"/>
                <w:color w:val="auto"/>
                <w:lang w:bidi="ar"/>
              </w:rPr>
              <w:t>S20</w:t>
            </w:r>
            <w:r>
              <w:rPr>
                <w:rStyle w:val="111"/>
                <w:color w:val="auto"/>
                <w:lang w:bidi="ar"/>
              </w:rPr>
              <w:t>长丰至固始高速，由北向南，在叶集区大顾店境内接</w:t>
            </w:r>
            <w:r>
              <w:rPr>
                <w:rStyle w:val="114"/>
                <w:rFonts w:eastAsia="宋体"/>
                <w:color w:val="auto"/>
                <w:lang w:bidi="ar"/>
              </w:rPr>
              <w:t>G40</w:t>
            </w:r>
            <w:r>
              <w:rPr>
                <w:rStyle w:val="111"/>
                <w:color w:val="auto"/>
                <w:lang w:bidi="ar"/>
              </w:rPr>
              <w:t>沪陕高速，里程约</w:t>
            </w:r>
            <w:r>
              <w:rPr>
                <w:rStyle w:val="114"/>
                <w:rFonts w:eastAsia="宋体"/>
                <w:color w:val="auto"/>
                <w:lang w:bidi="ar"/>
              </w:rPr>
              <w:t>10km</w:t>
            </w:r>
            <w:r>
              <w:rPr>
                <w:rStyle w:val="111"/>
                <w:color w:val="auto"/>
                <w:lang w:bidi="ar"/>
              </w:rPr>
              <w:t>。</w:t>
            </w: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130000</w:t>
            </w:r>
          </w:p>
        </w:tc>
        <w:tc>
          <w:tcPr>
            <w:tcW w:w="25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130000</w:t>
            </w: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2027</w:t>
            </w: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2029</w:t>
            </w: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市交通局</w:t>
            </w: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p>
        </w:tc>
      </w:tr>
      <w:tr>
        <w:tblPrEx>
          <w:tblCellMar>
            <w:top w:w="0" w:type="dxa"/>
            <w:left w:w="108" w:type="dxa"/>
            <w:bottom w:w="0" w:type="dxa"/>
            <w:right w:w="108" w:type="dxa"/>
          </w:tblCellMar>
        </w:tblPrEx>
        <w:trPr>
          <w:cantSplit/>
          <w:trHeight w:val="84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2</w:t>
            </w:r>
          </w:p>
        </w:tc>
        <w:tc>
          <w:tcPr>
            <w:tcW w:w="42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G40</w:t>
            </w:r>
            <w:r>
              <w:rPr>
                <w:rStyle w:val="111"/>
                <w:color w:val="auto"/>
                <w:lang w:bidi="ar"/>
              </w:rPr>
              <w:t>沪陕高速叶集段扩建工程</w:t>
            </w:r>
          </w:p>
        </w:tc>
        <w:tc>
          <w:tcPr>
            <w:tcW w:w="16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对</w:t>
            </w:r>
            <w:r>
              <w:rPr>
                <w:rStyle w:val="114"/>
                <w:rFonts w:eastAsia="宋体"/>
                <w:color w:val="auto"/>
                <w:lang w:bidi="ar"/>
              </w:rPr>
              <w:t>G40</w:t>
            </w:r>
            <w:r>
              <w:rPr>
                <w:rStyle w:val="111"/>
                <w:color w:val="auto"/>
                <w:lang w:bidi="ar"/>
              </w:rPr>
              <w:t>沪陕高速叶集段进行改扩建，起于大顾店，终点位于叶集河南界，里程约</w:t>
            </w:r>
            <w:r>
              <w:rPr>
                <w:rStyle w:val="114"/>
                <w:rFonts w:eastAsia="宋体"/>
                <w:color w:val="auto"/>
                <w:lang w:bidi="ar"/>
              </w:rPr>
              <w:t>19km</w:t>
            </w:r>
            <w:r>
              <w:rPr>
                <w:rStyle w:val="111"/>
                <w:color w:val="auto"/>
                <w:lang w:bidi="ar"/>
              </w:rPr>
              <w:t>。</w:t>
            </w: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250000</w:t>
            </w:r>
          </w:p>
        </w:tc>
        <w:tc>
          <w:tcPr>
            <w:tcW w:w="25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250000</w:t>
            </w: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2032</w:t>
            </w: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2035</w:t>
            </w: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省交控</w:t>
            </w: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p>
        </w:tc>
      </w:tr>
      <w:tr>
        <w:tblPrEx>
          <w:tblCellMar>
            <w:top w:w="0" w:type="dxa"/>
            <w:left w:w="108" w:type="dxa"/>
            <w:bottom w:w="0" w:type="dxa"/>
            <w:right w:w="108" w:type="dxa"/>
          </w:tblCellMar>
        </w:tblPrEx>
        <w:trPr>
          <w:cantSplit/>
          <w:trHeight w:val="1093" w:hRule="atLeast"/>
        </w:trPr>
        <w:tc>
          <w:tcPr>
            <w:tcW w:w="203" w:type="pct"/>
            <w:vMerge w:val="continue"/>
            <w:tcBorders>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3</w:t>
            </w:r>
          </w:p>
        </w:tc>
        <w:tc>
          <w:tcPr>
            <w:tcW w:w="42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G40 沪陕高速叶集东互通</w:t>
            </w:r>
          </w:p>
        </w:tc>
        <w:tc>
          <w:tcPr>
            <w:tcW w:w="16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新建匝道口收费站</w:t>
            </w:r>
            <w:r>
              <w:rPr>
                <w:rStyle w:val="114"/>
                <w:rFonts w:eastAsia="华文中宋"/>
                <w:color w:val="auto"/>
                <w:lang w:bidi="ar"/>
              </w:rPr>
              <w:t>1</w:t>
            </w:r>
            <w:r>
              <w:rPr>
                <w:rStyle w:val="111"/>
                <w:color w:val="auto"/>
                <w:lang w:bidi="ar"/>
              </w:rPr>
              <w:t>处，总建筑面积</w:t>
            </w:r>
            <w:r>
              <w:rPr>
                <w:rStyle w:val="114"/>
                <w:rFonts w:eastAsia="华文中宋"/>
                <w:color w:val="auto"/>
                <w:lang w:bidi="ar"/>
              </w:rPr>
              <w:t>2200m²</w:t>
            </w:r>
            <w:r>
              <w:rPr>
                <w:rStyle w:val="111"/>
                <w:color w:val="auto"/>
                <w:lang w:bidi="ar"/>
              </w:rPr>
              <w:t>，含管理用房及附属设施；新建道路工程沥青路面，包含</w:t>
            </w:r>
            <w:r>
              <w:rPr>
                <w:rStyle w:val="114"/>
                <w:rFonts w:eastAsia="华文中宋"/>
                <w:color w:val="auto"/>
                <w:lang w:bidi="ar"/>
              </w:rPr>
              <w:t>A</w:t>
            </w:r>
            <w:r>
              <w:rPr>
                <w:rStyle w:val="111"/>
                <w:color w:val="auto"/>
                <w:lang w:bidi="ar"/>
              </w:rPr>
              <w:t>型喇叭互通立交长</w:t>
            </w:r>
            <w:r>
              <w:rPr>
                <w:rStyle w:val="114"/>
                <w:rFonts w:eastAsia="华文中宋"/>
                <w:color w:val="auto"/>
                <w:lang w:bidi="ar"/>
              </w:rPr>
              <w:t>1.98km</w:t>
            </w:r>
            <w:r>
              <w:rPr>
                <w:rStyle w:val="111"/>
                <w:color w:val="auto"/>
                <w:lang w:bidi="ar"/>
              </w:rPr>
              <w:t>，匝道工程</w:t>
            </w:r>
            <w:r>
              <w:rPr>
                <w:rStyle w:val="114"/>
                <w:rFonts w:eastAsia="华文中宋"/>
                <w:color w:val="auto"/>
                <w:lang w:bidi="ar"/>
              </w:rPr>
              <w:t>3.16km</w:t>
            </w:r>
            <w:r>
              <w:rPr>
                <w:rStyle w:val="111"/>
                <w:color w:val="auto"/>
                <w:lang w:bidi="ar"/>
              </w:rPr>
              <w:t>，桥梁工程</w:t>
            </w:r>
            <w:r>
              <w:rPr>
                <w:rStyle w:val="114"/>
                <w:rFonts w:eastAsia="华文中宋"/>
                <w:color w:val="auto"/>
                <w:lang w:bidi="ar"/>
              </w:rPr>
              <w:t>510m</w:t>
            </w:r>
            <w:r>
              <w:rPr>
                <w:rStyle w:val="111"/>
                <w:color w:val="auto"/>
                <w:lang w:bidi="ar"/>
              </w:rPr>
              <w:t>。</w:t>
            </w: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26722</w:t>
            </w:r>
          </w:p>
        </w:tc>
        <w:tc>
          <w:tcPr>
            <w:tcW w:w="25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26722</w:t>
            </w: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2031</w:t>
            </w: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2033</w:t>
            </w: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省交控</w:t>
            </w: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p>
        </w:tc>
      </w:tr>
      <w:tr>
        <w:tblPrEx>
          <w:tblCellMar>
            <w:top w:w="0" w:type="dxa"/>
            <w:left w:w="108" w:type="dxa"/>
            <w:bottom w:w="0" w:type="dxa"/>
            <w:right w:w="108" w:type="dxa"/>
          </w:tblCellMar>
        </w:tblPrEx>
        <w:trPr>
          <w:cantSplit/>
          <w:trHeight w:val="1093" w:hRule="atLeast"/>
        </w:trPr>
        <w:tc>
          <w:tcPr>
            <w:tcW w:w="203"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kern w:val="0"/>
                <w:sz w:val="21"/>
                <w:szCs w:val="21"/>
                <w:lang w:bidi="ar"/>
              </w:rPr>
              <w:t>谋划储备项目</w:t>
            </w: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4</w:t>
            </w:r>
          </w:p>
        </w:tc>
        <w:tc>
          <w:tcPr>
            <w:tcW w:w="42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G42</w:t>
            </w:r>
            <w:r>
              <w:rPr>
                <w:rStyle w:val="111"/>
                <w:color w:val="auto"/>
                <w:lang w:bidi="ar"/>
              </w:rPr>
              <w:t>沪蓉高速大顾店至长岭关叶集段扩建工程</w:t>
            </w:r>
          </w:p>
        </w:tc>
        <w:tc>
          <w:tcPr>
            <w:tcW w:w="16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对</w:t>
            </w:r>
            <w:r>
              <w:rPr>
                <w:rStyle w:val="114"/>
                <w:rFonts w:eastAsia="宋体"/>
                <w:color w:val="auto"/>
                <w:lang w:bidi="ar"/>
              </w:rPr>
              <w:t>G42</w:t>
            </w:r>
            <w:r>
              <w:rPr>
                <w:rStyle w:val="111"/>
                <w:color w:val="auto"/>
                <w:lang w:bidi="ar"/>
              </w:rPr>
              <w:t>沪蓉高速叶集段进行改扩建，起于大顾店，终点位于叶集金寨界，里程约</w:t>
            </w:r>
            <w:r>
              <w:rPr>
                <w:rStyle w:val="114"/>
                <w:rFonts w:eastAsia="宋体"/>
                <w:color w:val="auto"/>
                <w:lang w:bidi="ar"/>
              </w:rPr>
              <w:t>7km</w:t>
            </w:r>
            <w:r>
              <w:rPr>
                <w:rStyle w:val="111"/>
                <w:color w:val="auto"/>
                <w:lang w:bidi="ar"/>
              </w:rPr>
              <w:t>。</w:t>
            </w: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77000</w:t>
            </w:r>
          </w:p>
        </w:tc>
        <w:tc>
          <w:tcPr>
            <w:tcW w:w="25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77000</w:t>
            </w: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2032</w:t>
            </w: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2035</w:t>
            </w: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省交控</w:t>
            </w: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p>
        </w:tc>
      </w:tr>
      <w:tr>
        <w:tblPrEx>
          <w:tblCellMar>
            <w:top w:w="0" w:type="dxa"/>
            <w:left w:w="108" w:type="dxa"/>
            <w:bottom w:w="0" w:type="dxa"/>
            <w:right w:w="108" w:type="dxa"/>
          </w:tblCellMar>
        </w:tblPrEx>
        <w:trPr>
          <w:cantSplit/>
          <w:trHeight w:val="508" w:hRule="atLeast"/>
        </w:trPr>
        <w:tc>
          <w:tcPr>
            <w:tcW w:w="203"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p>
        </w:tc>
        <w:tc>
          <w:tcPr>
            <w:tcW w:w="42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hint="eastAsia" w:eastAsia="宋体"/>
                <w:b/>
                <w:bCs/>
                <w:sz w:val="21"/>
                <w:szCs w:val="21"/>
              </w:rPr>
              <w:t>国省道项目</w:t>
            </w:r>
          </w:p>
        </w:tc>
        <w:tc>
          <w:tcPr>
            <w:tcW w:w="16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1408"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p>
        </w:tc>
        <w:tc>
          <w:tcPr>
            <w:tcW w:w="24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257"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7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76"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287"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p>
        </w:tc>
      </w:tr>
      <w:tr>
        <w:tblPrEx>
          <w:tblCellMar>
            <w:top w:w="0" w:type="dxa"/>
            <w:left w:w="108" w:type="dxa"/>
            <w:bottom w:w="0" w:type="dxa"/>
            <w:right w:w="108" w:type="dxa"/>
          </w:tblCellMar>
        </w:tblPrEx>
        <w:trPr>
          <w:cantSplit/>
          <w:trHeight w:val="2349" w:hRule="atLeast"/>
        </w:trPr>
        <w:tc>
          <w:tcPr>
            <w:tcW w:w="203" w:type="pct"/>
            <w:vMerge w:val="restart"/>
            <w:tcBorders>
              <w:top w:val="single" w:color="auto" w:sz="4" w:space="0"/>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sz w:val="21"/>
                <w:szCs w:val="21"/>
              </w:rPr>
              <w:t>新开工项目</w:t>
            </w:r>
          </w:p>
        </w:tc>
        <w:tc>
          <w:tcPr>
            <w:tcW w:w="130" w:type="pct"/>
            <w:tcBorders>
              <w:top w:val="single" w:color="auto"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5</w:t>
            </w:r>
          </w:p>
        </w:tc>
        <w:tc>
          <w:tcPr>
            <w:tcW w:w="421"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G632</w:t>
            </w:r>
            <w:r>
              <w:rPr>
                <w:rStyle w:val="111"/>
                <w:color w:val="auto"/>
                <w:lang w:bidi="ar"/>
              </w:rPr>
              <w:t>皖豫两省畅通工程叶集至固始段</w:t>
            </w:r>
          </w:p>
        </w:tc>
        <w:tc>
          <w:tcPr>
            <w:tcW w:w="167"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auto"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项目全长</w:t>
            </w:r>
            <w:r>
              <w:rPr>
                <w:rStyle w:val="114"/>
                <w:rFonts w:eastAsia="宋体"/>
                <w:color w:val="auto"/>
                <w:lang w:bidi="ar"/>
              </w:rPr>
              <w:t>24.98km</w:t>
            </w:r>
            <w:r>
              <w:rPr>
                <w:rStyle w:val="111"/>
                <w:color w:val="auto"/>
                <w:lang w:bidi="ar"/>
              </w:rPr>
              <w:t>，其中，</w:t>
            </w:r>
            <w:r>
              <w:rPr>
                <w:rStyle w:val="114"/>
                <w:rFonts w:eastAsia="宋体"/>
                <w:color w:val="auto"/>
                <w:lang w:bidi="ar"/>
              </w:rPr>
              <w:t>01</w:t>
            </w:r>
            <w:r>
              <w:rPr>
                <w:rStyle w:val="111"/>
                <w:color w:val="auto"/>
                <w:lang w:bidi="ar"/>
              </w:rPr>
              <w:t>标：</w:t>
            </w:r>
            <w:r>
              <w:rPr>
                <w:rStyle w:val="114"/>
                <w:rFonts w:eastAsia="宋体"/>
                <w:color w:val="auto"/>
                <w:lang w:bidi="ar"/>
              </w:rPr>
              <w:t>G632</w:t>
            </w:r>
            <w:r>
              <w:rPr>
                <w:rStyle w:val="111"/>
                <w:color w:val="auto"/>
                <w:lang w:bidi="ar"/>
              </w:rPr>
              <w:t>叶集段（姚李至平岗段）新建工程，按二级公路标准建设长约</w:t>
            </w:r>
            <w:r>
              <w:rPr>
                <w:rStyle w:val="114"/>
                <w:rFonts w:eastAsia="宋体"/>
                <w:color w:val="auto"/>
                <w:lang w:bidi="ar"/>
              </w:rPr>
              <w:t>18.3km</w:t>
            </w:r>
            <w:r>
              <w:rPr>
                <w:rStyle w:val="111"/>
                <w:color w:val="auto"/>
                <w:lang w:bidi="ar"/>
              </w:rPr>
              <w:t>，路基宽</w:t>
            </w:r>
            <w:r>
              <w:rPr>
                <w:rStyle w:val="114"/>
                <w:rFonts w:eastAsia="宋体"/>
                <w:color w:val="auto"/>
                <w:lang w:bidi="ar"/>
              </w:rPr>
              <w:t>12m</w:t>
            </w:r>
            <w:r>
              <w:rPr>
                <w:rStyle w:val="111"/>
                <w:color w:val="auto"/>
                <w:lang w:bidi="ar"/>
              </w:rPr>
              <w:t>：</w:t>
            </w:r>
            <w:r>
              <w:rPr>
                <w:rStyle w:val="114"/>
                <w:rFonts w:eastAsia="宋体"/>
                <w:color w:val="auto"/>
                <w:lang w:bidi="ar"/>
              </w:rPr>
              <w:t xml:space="preserve"> 02</w:t>
            </w:r>
            <w:r>
              <w:rPr>
                <w:rStyle w:val="111"/>
                <w:color w:val="auto"/>
                <w:lang w:bidi="ar"/>
              </w:rPr>
              <w:t>标：</w:t>
            </w:r>
            <w:r>
              <w:rPr>
                <w:rStyle w:val="114"/>
                <w:rFonts w:eastAsia="宋体"/>
                <w:color w:val="auto"/>
                <w:lang w:bidi="ar"/>
              </w:rPr>
              <w:t>G632</w:t>
            </w:r>
            <w:r>
              <w:rPr>
                <w:rStyle w:val="111"/>
                <w:color w:val="auto"/>
                <w:lang w:bidi="ar"/>
              </w:rPr>
              <w:t>叶集平岗段新建工程，按一级公路标准建设长约</w:t>
            </w:r>
            <w:r>
              <w:rPr>
                <w:rStyle w:val="114"/>
                <w:rFonts w:eastAsia="宋体"/>
                <w:color w:val="auto"/>
                <w:lang w:bidi="ar"/>
              </w:rPr>
              <w:t>5.58km</w:t>
            </w:r>
            <w:r>
              <w:rPr>
                <w:rStyle w:val="111"/>
                <w:color w:val="auto"/>
                <w:lang w:bidi="ar"/>
              </w:rPr>
              <w:t>，路基宽</w:t>
            </w:r>
            <w:r>
              <w:rPr>
                <w:rStyle w:val="114"/>
                <w:rFonts w:eastAsia="宋体"/>
                <w:color w:val="auto"/>
                <w:lang w:bidi="ar"/>
              </w:rPr>
              <w:t>33.5m</w:t>
            </w:r>
            <w:r>
              <w:rPr>
                <w:rStyle w:val="111"/>
                <w:color w:val="auto"/>
                <w:lang w:bidi="ar"/>
              </w:rPr>
              <w:t>；</w:t>
            </w:r>
            <w:r>
              <w:rPr>
                <w:rStyle w:val="114"/>
                <w:rFonts w:eastAsia="宋体"/>
                <w:color w:val="auto"/>
                <w:lang w:bidi="ar"/>
              </w:rPr>
              <w:t xml:space="preserve"> 03</w:t>
            </w:r>
            <w:r>
              <w:rPr>
                <w:rStyle w:val="111"/>
                <w:color w:val="auto"/>
                <w:lang w:bidi="ar"/>
              </w:rPr>
              <w:t>标：</w:t>
            </w:r>
            <w:r>
              <w:rPr>
                <w:rStyle w:val="114"/>
                <w:rFonts w:eastAsia="宋体"/>
                <w:color w:val="auto"/>
                <w:lang w:bidi="ar"/>
              </w:rPr>
              <w:t>G632</w:t>
            </w:r>
            <w:r>
              <w:rPr>
                <w:rStyle w:val="111"/>
                <w:color w:val="auto"/>
                <w:lang w:bidi="ar"/>
              </w:rPr>
              <w:t>史河大桥及接线工程，按照一级公路标准建设，总长约</w:t>
            </w:r>
            <w:r>
              <w:rPr>
                <w:rStyle w:val="114"/>
                <w:rFonts w:eastAsia="宋体"/>
                <w:color w:val="auto"/>
                <w:lang w:bidi="ar"/>
              </w:rPr>
              <w:t>1.1km</w:t>
            </w:r>
            <w:r>
              <w:rPr>
                <w:rStyle w:val="111"/>
                <w:color w:val="auto"/>
                <w:lang w:bidi="ar"/>
              </w:rPr>
              <w:t>，路基宽</w:t>
            </w:r>
            <w:r>
              <w:rPr>
                <w:rStyle w:val="114"/>
                <w:rFonts w:eastAsia="宋体"/>
                <w:color w:val="auto"/>
                <w:lang w:bidi="ar"/>
              </w:rPr>
              <w:t>33.5m</w:t>
            </w:r>
            <w:r>
              <w:rPr>
                <w:rStyle w:val="111"/>
                <w:color w:val="auto"/>
                <w:lang w:bidi="ar"/>
              </w:rPr>
              <w:t>，含史河大桥</w:t>
            </w:r>
            <w:r>
              <w:rPr>
                <w:rStyle w:val="114"/>
                <w:rFonts w:eastAsia="宋体"/>
                <w:color w:val="auto"/>
                <w:lang w:bidi="ar"/>
              </w:rPr>
              <w:t>1</w:t>
            </w:r>
            <w:r>
              <w:rPr>
                <w:rStyle w:val="111"/>
                <w:color w:val="auto"/>
                <w:lang w:bidi="ar"/>
              </w:rPr>
              <w:t>座。该项目连接河南省信阳市规划的沿大别山公路（国家旅游风景道），项目建设将大力推进省际毗邻地区交通运输高质量发展，促进中西部交通互联互通。</w:t>
            </w:r>
          </w:p>
        </w:tc>
        <w:tc>
          <w:tcPr>
            <w:tcW w:w="243"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127560</w:t>
            </w:r>
          </w:p>
        </w:tc>
        <w:tc>
          <w:tcPr>
            <w:tcW w:w="257" w:type="pct"/>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eastAsia="宋体"/>
                <w:sz w:val="22"/>
                <w:szCs w:val="22"/>
              </w:rPr>
            </w:pPr>
            <w:r>
              <w:rPr>
                <w:rFonts w:eastAsia="宋体"/>
                <w:kern w:val="0"/>
                <w:sz w:val="22"/>
                <w:szCs w:val="22"/>
                <w:lang w:bidi="ar"/>
              </w:rPr>
              <w:t>76500</w:t>
            </w:r>
          </w:p>
        </w:tc>
        <w:tc>
          <w:tcPr>
            <w:tcW w:w="316" w:type="pct"/>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rPr>
                <w:rFonts w:eastAsia="宋体"/>
                <w:sz w:val="22"/>
                <w:szCs w:val="22"/>
              </w:rPr>
            </w:pPr>
          </w:p>
        </w:tc>
        <w:tc>
          <w:tcPr>
            <w:tcW w:w="319" w:type="pct"/>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eastAsia="宋体"/>
                <w:sz w:val="22"/>
                <w:szCs w:val="22"/>
              </w:rPr>
            </w:pPr>
            <w:r>
              <w:rPr>
                <w:rFonts w:eastAsia="宋体"/>
                <w:kern w:val="0"/>
                <w:sz w:val="22"/>
                <w:szCs w:val="22"/>
                <w:lang w:bidi="ar"/>
              </w:rPr>
              <w:t>51060</w:t>
            </w:r>
          </w:p>
        </w:tc>
        <w:tc>
          <w:tcPr>
            <w:tcW w:w="312" w:type="pct"/>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rPr>
                <w:rFonts w:eastAsia="宋体"/>
                <w:sz w:val="22"/>
                <w:szCs w:val="22"/>
              </w:rPr>
            </w:pPr>
          </w:p>
        </w:tc>
        <w:tc>
          <w:tcPr>
            <w:tcW w:w="178"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2025</w:t>
            </w:r>
          </w:p>
        </w:tc>
        <w:tc>
          <w:tcPr>
            <w:tcW w:w="22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2028</w:t>
            </w:r>
          </w:p>
        </w:tc>
        <w:tc>
          <w:tcPr>
            <w:tcW w:w="276"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Style w:val="111"/>
                <w:rFonts w:hint="eastAsia" w:eastAsia="宋体"/>
                <w:color w:val="auto"/>
                <w:lang w:bidi="ar"/>
              </w:rPr>
              <w:t>省正选库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6</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G529</w:t>
            </w:r>
            <w:r>
              <w:rPr>
                <w:rStyle w:val="111"/>
                <w:color w:val="auto"/>
                <w:lang w:bidi="ar"/>
              </w:rPr>
              <w:t>孙岗至平岗段新改建工程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路线长度为</w:t>
            </w:r>
            <w:r>
              <w:rPr>
                <w:rStyle w:val="114"/>
                <w:rFonts w:eastAsia="宋体"/>
                <w:color w:val="auto"/>
                <w:lang w:bidi="ar"/>
              </w:rPr>
              <w:t>5.5km</w:t>
            </w:r>
            <w:r>
              <w:rPr>
                <w:rStyle w:val="111"/>
                <w:color w:val="auto"/>
                <w:lang w:bidi="ar"/>
              </w:rPr>
              <w:t>，路基宽</w:t>
            </w:r>
            <w:r>
              <w:rPr>
                <w:rStyle w:val="114"/>
                <w:rFonts w:eastAsia="宋体"/>
                <w:color w:val="auto"/>
                <w:lang w:bidi="ar"/>
              </w:rPr>
              <w:t>33.5m</w:t>
            </w:r>
            <w:r>
              <w:rPr>
                <w:rStyle w:val="111"/>
                <w:color w:val="auto"/>
                <w:lang w:bidi="ar"/>
              </w:rPr>
              <w:t>，按照一级公路标准建设，设计速度</w:t>
            </w:r>
            <w:r>
              <w:rPr>
                <w:rStyle w:val="114"/>
                <w:rFonts w:eastAsia="宋体"/>
                <w:color w:val="auto"/>
                <w:lang w:bidi="ar"/>
              </w:rPr>
              <w:t>60km/h</w:t>
            </w:r>
            <w:r>
              <w:rPr>
                <w:rStyle w:val="111"/>
                <w:color w:val="auto"/>
                <w:lang w:bidi="ar"/>
              </w:rPr>
              <w:t>，双向六车道。拆迁约</w:t>
            </w:r>
            <w:r>
              <w:rPr>
                <w:rStyle w:val="114"/>
                <w:rFonts w:eastAsia="宋体"/>
                <w:color w:val="auto"/>
                <w:lang w:bidi="ar"/>
              </w:rPr>
              <w:t>80</w:t>
            </w:r>
            <w:r>
              <w:rPr>
                <w:rStyle w:val="111"/>
                <w:color w:val="auto"/>
                <w:lang w:bidi="ar"/>
              </w:rPr>
              <w:t>户，征地约</w:t>
            </w:r>
            <w:r>
              <w:rPr>
                <w:rStyle w:val="114"/>
                <w:rFonts w:eastAsia="宋体"/>
                <w:color w:val="auto"/>
                <w:lang w:bidi="ar"/>
              </w:rPr>
              <w:t>460</w:t>
            </w:r>
            <w:r>
              <w:rPr>
                <w:rStyle w:val="111"/>
                <w:color w:val="auto"/>
                <w:lang w:bidi="ar"/>
              </w:rPr>
              <w:t>亩，含强电、通信、国防光缆迁移。</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44000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17100</w:t>
            </w: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26900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2027</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2029</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Style w:val="111"/>
                <w:rFonts w:hint="eastAsia" w:eastAsia="宋体"/>
                <w:color w:val="auto"/>
                <w:lang w:bidi="ar"/>
              </w:rPr>
              <w:t>省正选库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7</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华文中宋"/>
                <w:color w:val="auto"/>
                <w:lang w:bidi="ar"/>
              </w:rPr>
              <w:t>G312</w:t>
            </w:r>
            <w:r>
              <w:rPr>
                <w:rStyle w:val="111"/>
                <w:color w:val="auto"/>
                <w:lang w:bidi="ar"/>
              </w:rPr>
              <w:t>叶集段（中至信大道至西外环）改造工程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hint="eastAsia" w:ascii="华文中宋" w:hAnsi="华文中宋" w:eastAsia="华文中宋" w:cs="华文中宋"/>
                <w:kern w:val="0"/>
                <w:sz w:val="21"/>
                <w:szCs w:val="21"/>
                <w:lang w:bidi="ar"/>
              </w:rPr>
              <w:t>改建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改造工程实施</w:t>
            </w:r>
            <w:r>
              <w:rPr>
                <w:rStyle w:val="114"/>
                <w:rFonts w:eastAsia="华文中宋"/>
                <w:color w:val="auto"/>
                <w:lang w:bidi="ar"/>
              </w:rPr>
              <w:t>4</w:t>
            </w:r>
            <w:r>
              <w:rPr>
                <w:rStyle w:val="111"/>
                <w:color w:val="auto"/>
                <w:lang w:bidi="ar"/>
              </w:rPr>
              <w:t>公里道路（香樟大道）升级改造，增加非机动车道、雨污水等。</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hint="eastAsia" w:eastAsia="宋体"/>
                <w:kern w:val="0"/>
                <w:sz w:val="21"/>
                <w:szCs w:val="21"/>
                <w:lang w:bidi="ar"/>
              </w:rPr>
              <w:t>22000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2027</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华文中宋"/>
                <w:sz w:val="21"/>
                <w:szCs w:val="21"/>
              </w:rPr>
            </w:pPr>
            <w:r>
              <w:rPr>
                <w:rStyle w:val="111"/>
                <w:rFonts w:hint="eastAsia"/>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restart"/>
            <w:tcBorders>
              <w:top w:val="single" w:color="000000" w:sz="4" w:space="0"/>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kern w:val="0"/>
                <w:sz w:val="21"/>
                <w:szCs w:val="21"/>
                <w:lang w:bidi="ar"/>
              </w:rPr>
              <w:t>谋划储备项目</w:t>
            </w: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8</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华文中宋"/>
                <w:color w:val="auto"/>
                <w:lang w:bidi="ar"/>
              </w:rPr>
              <w:t>G312</w:t>
            </w:r>
            <w:r>
              <w:rPr>
                <w:rStyle w:val="111"/>
                <w:color w:val="auto"/>
                <w:lang w:bidi="ar"/>
              </w:rPr>
              <w:t>叶集段改建工程（大顾店上跨</w:t>
            </w:r>
            <w:r>
              <w:rPr>
                <w:rStyle w:val="114"/>
                <w:rFonts w:eastAsia="华文中宋"/>
                <w:color w:val="auto"/>
                <w:lang w:bidi="ar"/>
              </w:rPr>
              <w:t>G42</w:t>
            </w:r>
            <w:r>
              <w:rPr>
                <w:rStyle w:val="111"/>
                <w:color w:val="auto"/>
                <w:lang w:bidi="ar"/>
              </w:rPr>
              <w:t>）</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新改建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按一级公路标准建设，新建半幅分离式上跨（另半幅利用）长</w:t>
            </w:r>
            <w:r>
              <w:rPr>
                <w:rStyle w:val="114"/>
                <w:rFonts w:eastAsia="华文中宋"/>
                <w:color w:val="auto"/>
                <w:lang w:bidi="ar"/>
              </w:rPr>
              <w:t>2.2km</w:t>
            </w:r>
            <w:r>
              <w:rPr>
                <w:rStyle w:val="111"/>
                <w:color w:val="auto"/>
                <w:lang w:bidi="ar"/>
              </w:rPr>
              <w:t>，路基宽度</w:t>
            </w:r>
            <w:r>
              <w:rPr>
                <w:rStyle w:val="114"/>
                <w:rFonts w:eastAsia="华文中宋"/>
                <w:color w:val="auto"/>
                <w:lang w:bidi="ar"/>
              </w:rPr>
              <w:t>12.25m</w:t>
            </w:r>
            <w:r>
              <w:rPr>
                <w:rStyle w:val="111"/>
                <w:color w:val="auto"/>
                <w:lang w:bidi="ar"/>
              </w:rPr>
              <w:t>，双向四车道（另半幅已建成通车），设计时速</w:t>
            </w:r>
            <w:r>
              <w:rPr>
                <w:rStyle w:val="114"/>
                <w:rFonts w:eastAsia="华文中宋"/>
                <w:color w:val="auto"/>
                <w:lang w:bidi="ar"/>
              </w:rPr>
              <w:t>60km/h</w:t>
            </w:r>
            <w:r>
              <w:rPr>
                <w:rStyle w:val="111"/>
                <w:color w:val="auto"/>
                <w:lang w:bidi="ar"/>
              </w:rPr>
              <w:t>，拆迁约</w:t>
            </w:r>
            <w:r>
              <w:rPr>
                <w:rStyle w:val="114"/>
                <w:rFonts w:eastAsia="华文中宋"/>
                <w:color w:val="auto"/>
                <w:lang w:bidi="ar"/>
              </w:rPr>
              <w:t>50</w:t>
            </w:r>
            <w:r>
              <w:rPr>
                <w:rStyle w:val="111"/>
                <w:color w:val="auto"/>
                <w:lang w:bidi="ar"/>
              </w:rPr>
              <w:t>户，征地约</w:t>
            </w:r>
            <w:r>
              <w:rPr>
                <w:rStyle w:val="114"/>
                <w:rFonts w:eastAsia="华文中宋"/>
                <w:color w:val="auto"/>
                <w:lang w:bidi="ar"/>
              </w:rPr>
              <w:t>72</w:t>
            </w:r>
            <w:r>
              <w:rPr>
                <w:rStyle w:val="111"/>
                <w:color w:val="auto"/>
                <w:lang w:bidi="ar"/>
              </w:rPr>
              <w:t>亩。含强电、通信、国防光缆迁移。</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hint="eastAsia" w:eastAsia="宋体"/>
                <w:kern w:val="0"/>
                <w:sz w:val="21"/>
                <w:szCs w:val="21"/>
                <w:lang w:bidi="ar"/>
              </w:rPr>
              <w:t>13500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2027</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华文中宋"/>
                <w:sz w:val="21"/>
                <w:szCs w:val="21"/>
              </w:rPr>
            </w:pPr>
            <w:r>
              <w:rPr>
                <w:rStyle w:val="111"/>
                <w:rFonts w:hint="eastAsia" w:eastAsia="宋体"/>
                <w:color w:val="auto"/>
                <w:lang w:bidi="ar"/>
              </w:rPr>
              <w:t>省正选库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9</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G105</w:t>
            </w:r>
            <w:r>
              <w:rPr>
                <w:rStyle w:val="111"/>
                <w:color w:val="auto"/>
                <w:lang w:bidi="ar"/>
              </w:rPr>
              <w:t>叶集段改建工程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实施一级公路</w:t>
            </w:r>
            <w:r>
              <w:rPr>
                <w:rStyle w:val="114"/>
                <w:rFonts w:eastAsia="宋体"/>
                <w:color w:val="auto"/>
                <w:lang w:bidi="ar"/>
              </w:rPr>
              <w:t>12.6km</w:t>
            </w:r>
            <w:r>
              <w:rPr>
                <w:rStyle w:val="111"/>
                <w:color w:val="auto"/>
                <w:lang w:bidi="ar"/>
              </w:rPr>
              <w:t>，路基宽</w:t>
            </w:r>
            <w:r>
              <w:rPr>
                <w:rStyle w:val="114"/>
                <w:rFonts w:eastAsia="宋体"/>
                <w:color w:val="auto"/>
                <w:lang w:bidi="ar"/>
              </w:rPr>
              <w:t>25.5m</w:t>
            </w:r>
            <w:r>
              <w:rPr>
                <w:rStyle w:val="111"/>
                <w:color w:val="auto"/>
                <w:lang w:bidi="ar"/>
              </w:rPr>
              <w:t>，设计速度</w:t>
            </w:r>
            <w:r>
              <w:rPr>
                <w:rStyle w:val="114"/>
                <w:rFonts w:eastAsia="宋体"/>
                <w:color w:val="auto"/>
                <w:lang w:bidi="ar"/>
              </w:rPr>
              <w:t>80km/h</w:t>
            </w:r>
            <w:r>
              <w:rPr>
                <w:rStyle w:val="111"/>
                <w:color w:val="auto"/>
                <w:lang w:bidi="ar"/>
              </w:rPr>
              <w:t>，双向四车道，建设内容含路基、路面、桥涵等。拆迁约</w:t>
            </w:r>
            <w:r>
              <w:rPr>
                <w:rStyle w:val="114"/>
                <w:rFonts w:eastAsia="宋体"/>
                <w:color w:val="auto"/>
                <w:lang w:bidi="ar"/>
              </w:rPr>
              <w:t>360</w:t>
            </w:r>
            <w:r>
              <w:rPr>
                <w:rStyle w:val="111"/>
                <w:color w:val="auto"/>
                <w:lang w:bidi="ar"/>
              </w:rPr>
              <w:t>户，征地</w:t>
            </w:r>
            <w:r>
              <w:rPr>
                <w:rStyle w:val="114"/>
                <w:rFonts w:eastAsia="宋体"/>
                <w:color w:val="auto"/>
                <w:lang w:bidi="ar"/>
              </w:rPr>
              <w:t>910</w:t>
            </w:r>
            <w:r>
              <w:rPr>
                <w:rStyle w:val="111"/>
                <w:color w:val="auto"/>
                <w:lang w:bidi="ar"/>
              </w:rPr>
              <w:t>亩；含强电、通信、国防光缆迁移。</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90000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19600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70400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2029</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r>
              <w:rPr>
                <w:rFonts w:hint="eastAsia" w:eastAsia="宋体"/>
                <w:sz w:val="21"/>
                <w:szCs w:val="21"/>
              </w:rPr>
              <w:t>省正选库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G312</w:t>
            </w:r>
            <w:r>
              <w:rPr>
                <w:rStyle w:val="111"/>
                <w:color w:val="auto"/>
                <w:lang w:bidi="ar"/>
              </w:rPr>
              <w:t>叶集段（实验学校至裕安界）快速化改造项目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实施一级公路</w:t>
            </w:r>
            <w:r>
              <w:rPr>
                <w:rStyle w:val="114"/>
                <w:rFonts w:eastAsia="宋体"/>
                <w:color w:val="auto"/>
                <w:lang w:bidi="ar"/>
              </w:rPr>
              <w:t>24km</w:t>
            </w:r>
            <w:r>
              <w:rPr>
                <w:rStyle w:val="111"/>
                <w:color w:val="auto"/>
                <w:lang w:bidi="ar"/>
              </w:rPr>
              <w:t>快速化改造。</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230000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32200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197800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2028</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S325</w:t>
            </w:r>
            <w:r>
              <w:rPr>
                <w:rStyle w:val="111"/>
                <w:color w:val="auto"/>
                <w:lang w:bidi="ar"/>
              </w:rPr>
              <w:t>叶集段（香樟大道至皖西路）新建工程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实施</w:t>
            </w:r>
            <w:r>
              <w:rPr>
                <w:rStyle w:val="114"/>
                <w:rFonts w:eastAsia="华文中宋"/>
                <w:color w:val="auto"/>
                <w:lang w:bidi="ar"/>
              </w:rPr>
              <w:t>3.3km</w:t>
            </w:r>
            <w:r>
              <w:rPr>
                <w:rStyle w:val="111"/>
                <w:color w:val="auto"/>
                <w:lang w:bidi="ar"/>
              </w:rPr>
              <w:t>一级公路新建（固叶路）。</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23100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23100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2028</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2031</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S439</w:t>
            </w:r>
            <w:r>
              <w:rPr>
                <w:rStyle w:val="111"/>
                <w:color w:val="auto"/>
                <w:lang w:bidi="ar"/>
              </w:rPr>
              <w:t>叶集段皖豫省际毗邻合作项目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S439</w:t>
            </w:r>
            <w:r>
              <w:rPr>
                <w:rStyle w:val="111"/>
                <w:color w:val="auto"/>
                <w:lang w:bidi="ar"/>
              </w:rPr>
              <w:t>朱畈至固始界改建工程（皖西路）全长</w:t>
            </w:r>
            <w:r>
              <w:rPr>
                <w:rStyle w:val="114"/>
                <w:rFonts w:eastAsia="宋体"/>
                <w:color w:val="auto"/>
                <w:lang w:bidi="ar"/>
              </w:rPr>
              <w:t>2.96km</w:t>
            </w:r>
            <w:r>
              <w:rPr>
                <w:rStyle w:val="111"/>
                <w:color w:val="auto"/>
                <w:lang w:bidi="ar"/>
              </w:rPr>
              <w:t>，其中，陈淋子大桥至明强路段长</w:t>
            </w:r>
            <w:r>
              <w:rPr>
                <w:rStyle w:val="114"/>
                <w:rFonts w:eastAsia="宋体"/>
                <w:color w:val="auto"/>
                <w:lang w:bidi="ar"/>
              </w:rPr>
              <w:t>1.3km</w:t>
            </w:r>
            <w:r>
              <w:rPr>
                <w:rStyle w:val="111"/>
                <w:color w:val="auto"/>
                <w:lang w:bidi="ar"/>
              </w:rPr>
              <w:t>，按一级公路标准建设，双向四车道，路基宽</w:t>
            </w:r>
            <w:r>
              <w:rPr>
                <w:rStyle w:val="114"/>
                <w:rFonts w:eastAsia="宋体"/>
                <w:color w:val="auto"/>
                <w:lang w:bidi="ar"/>
              </w:rPr>
              <w:t>40m</w:t>
            </w:r>
            <w:r>
              <w:rPr>
                <w:rStyle w:val="111"/>
                <w:color w:val="auto"/>
                <w:lang w:bidi="ar"/>
              </w:rPr>
              <w:t>；剩余路段长</w:t>
            </w:r>
            <w:r>
              <w:rPr>
                <w:rStyle w:val="114"/>
                <w:rFonts w:eastAsia="宋体"/>
                <w:color w:val="auto"/>
                <w:lang w:bidi="ar"/>
              </w:rPr>
              <w:t>1.66km</w:t>
            </w:r>
            <w:r>
              <w:rPr>
                <w:rStyle w:val="111"/>
                <w:color w:val="auto"/>
                <w:lang w:bidi="ar"/>
              </w:rPr>
              <w:t>，依现状红线按二级公路标准建设，路基宽</w:t>
            </w:r>
            <w:r>
              <w:rPr>
                <w:rStyle w:val="114"/>
                <w:rFonts w:eastAsia="宋体"/>
                <w:color w:val="auto"/>
                <w:lang w:bidi="ar"/>
              </w:rPr>
              <w:t>23m</w:t>
            </w:r>
            <w:r>
              <w:rPr>
                <w:rStyle w:val="111"/>
                <w:color w:val="auto"/>
                <w:lang w:bidi="ar"/>
              </w:rPr>
              <w:t>。增设雨污水等市政设施。</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22000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22000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2028</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S437</w:t>
            </w:r>
            <w:r>
              <w:rPr>
                <w:rStyle w:val="111"/>
                <w:color w:val="auto"/>
                <w:lang w:bidi="ar"/>
              </w:rPr>
              <w:t>叶集段皖豫省际毗邻合作项目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包含</w:t>
            </w:r>
            <w:r>
              <w:rPr>
                <w:rStyle w:val="114"/>
                <w:rFonts w:eastAsia="宋体"/>
                <w:color w:val="auto"/>
                <w:lang w:bidi="ar"/>
              </w:rPr>
              <w:t>2</w:t>
            </w:r>
            <w:r>
              <w:rPr>
                <w:rStyle w:val="111"/>
                <w:color w:val="auto"/>
                <w:lang w:bidi="ar"/>
              </w:rPr>
              <w:t>个子项目，</w:t>
            </w:r>
            <w:r>
              <w:rPr>
                <w:rStyle w:val="114"/>
                <w:rFonts w:eastAsia="宋体"/>
                <w:color w:val="auto"/>
                <w:lang w:bidi="ar"/>
              </w:rPr>
              <w:t>S437</w:t>
            </w:r>
            <w:r>
              <w:rPr>
                <w:rStyle w:val="111"/>
                <w:color w:val="auto"/>
                <w:lang w:bidi="ar"/>
              </w:rPr>
              <w:t>叶集段（裕安界至</w:t>
            </w:r>
            <w:r>
              <w:rPr>
                <w:rStyle w:val="114"/>
                <w:rFonts w:eastAsia="宋体"/>
                <w:color w:val="auto"/>
                <w:lang w:bidi="ar"/>
              </w:rPr>
              <w:t>G105</w:t>
            </w:r>
            <w:r>
              <w:rPr>
                <w:rStyle w:val="111"/>
                <w:color w:val="auto"/>
                <w:lang w:bidi="ar"/>
              </w:rPr>
              <w:t>）新建工程，新建</w:t>
            </w:r>
            <w:r>
              <w:rPr>
                <w:rStyle w:val="114"/>
                <w:rFonts w:eastAsia="宋体"/>
                <w:color w:val="auto"/>
                <w:lang w:bidi="ar"/>
              </w:rPr>
              <w:t>2km</w:t>
            </w:r>
            <w:r>
              <w:rPr>
                <w:rStyle w:val="111"/>
                <w:color w:val="auto"/>
                <w:lang w:bidi="ar"/>
              </w:rPr>
              <w:t>二级公路，双向两车道，路基宽</w:t>
            </w:r>
            <w:r>
              <w:rPr>
                <w:rStyle w:val="114"/>
                <w:rFonts w:eastAsia="宋体"/>
                <w:color w:val="auto"/>
                <w:lang w:bidi="ar"/>
              </w:rPr>
              <w:t>12m</w:t>
            </w:r>
            <w:r>
              <w:rPr>
                <w:rStyle w:val="111"/>
                <w:color w:val="auto"/>
                <w:lang w:bidi="ar"/>
              </w:rPr>
              <w:t>；</w:t>
            </w:r>
            <w:r>
              <w:rPr>
                <w:rStyle w:val="114"/>
                <w:rFonts w:eastAsia="宋体"/>
                <w:color w:val="auto"/>
                <w:lang w:bidi="ar"/>
              </w:rPr>
              <w:t>S437</w:t>
            </w:r>
            <w:r>
              <w:rPr>
                <w:rStyle w:val="111"/>
                <w:color w:val="auto"/>
                <w:lang w:bidi="ar"/>
              </w:rPr>
              <w:t>叶集段（三元至固始界）新建工程，长</w:t>
            </w:r>
            <w:r>
              <w:rPr>
                <w:rStyle w:val="114"/>
                <w:rFonts w:eastAsia="宋体"/>
                <w:color w:val="auto"/>
                <w:lang w:bidi="ar"/>
              </w:rPr>
              <w:t>12.97km</w:t>
            </w:r>
            <w:r>
              <w:rPr>
                <w:rStyle w:val="111"/>
                <w:color w:val="auto"/>
                <w:lang w:bidi="ar"/>
              </w:rPr>
              <w:t>二级公路路基路面桥涵等建设，路基宽</w:t>
            </w:r>
            <w:r>
              <w:rPr>
                <w:rStyle w:val="114"/>
                <w:rFonts w:eastAsia="宋体"/>
                <w:color w:val="auto"/>
                <w:lang w:bidi="ar"/>
              </w:rPr>
              <w:t>12m</w:t>
            </w:r>
            <w:r>
              <w:rPr>
                <w:rStyle w:val="111"/>
                <w:color w:val="auto"/>
                <w:lang w:bidi="ar"/>
              </w:rPr>
              <w:t>，路面宽</w:t>
            </w:r>
            <w:r>
              <w:rPr>
                <w:rStyle w:val="114"/>
                <w:rFonts w:eastAsia="宋体"/>
                <w:color w:val="auto"/>
                <w:lang w:bidi="ar"/>
              </w:rPr>
              <w:t>10.5m</w:t>
            </w:r>
            <w:r>
              <w:rPr>
                <w:rStyle w:val="111"/>
                <w:color w:val="auto"/>
                <w:lang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45000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45000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2027</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2031</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14</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S329</w:t>
            </w:r>
            <w:r>
              <w:rPr>
                <w:rStyle w:val="111"/>
                <w:color w:val="auto"/>
                <w:lang w:bidi="ar"/>
              </w:rPr>
              <w:t>叶集段（永和路至金寨界）改造工程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实施金叶大道（永和路至金寨界）一级公路改造</w:t>
            </w:r>
            <w:r>
              <w:rPr>
                <w:rStyle w:val="114"/>
                <w:rFonts w:eastAsia="华文中宋"/>
                <w:color w:val="auto"/>
                <w:lang w:bidi="ar"/>
              </w:rPr>
              <w:t>3.6km</w:t>
            </w:r>
            <w:r>
              <w:rPr>
                <w:rStyle w:val="111"/>
                <w:color w:val="auto"/>
                <w:lang w:bidi="ar"/>
              </w:rPr>
              <w:t>，增设非机动车道和人行道，不含上跨宁西铁路桥改造。</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12000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12000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2029</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S245</w:t>
            </w:r>
            <w:r>
              <w:rPr>
                <w:rStyle w:val="111"/>
                <w:color w:val="auto"/>
                <w:lang w:bidi="ar"/>
              </w:rPr>
              <w:t>叶集段（三元—平岗）改建工程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改扩建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全长约</w:t>
            </w:r>
            <w:r>
              <w:rPr>
                <w:rStyle w:val="114"/>
                <w:rFonts w:eastAsia="华文中宋"/>
                <w:color w:val="auto"/>
                <w:lang w:bidi="ar"/>
              </w:rPr>
              <w:t>16.9km</w:t>
            </w:r>
            <w:r>
              <w:rPr>
                <w:rStyle w:val="111"/>
                <w:color w:val="auto"/>
                <w:lang w:bidi="ar"/>
              </w:rPr>
              <w:t>，一级公路改扩建。</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91500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91500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2029</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2033</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16</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S325</w:t>
            </w:r>
            <w:r>
              <w:rPr>
                <w:rStyle w:val="111"/>
                <w:color w:val="auto"/>
                <w:lang w:bidi="ar"/>
              </w:rPr>
              <w:t>扈胡至孙岗段新建工程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全长约</w:t>
            </w:r>
            <w:r>
              <w:rPr>
                <w:rStyle w:val="114"/>
                <w:rFonts w:eastAsia="华文中宋"/>
                <w:color w:val="auto"/>
                <w:lang w:bidi="ar"/>
              </w:rPr>
              <w:t>16.5km</w:t>
            </w:r>
            <w:r>
              <w:rPr>
                <w:rStyle w:val="111"/>
                <w:color w:val="auto"/>
                <w:lang w:bidi="ar"/>
              </w:rPr>
              <w:t>一级公路，设计时速</w:t>
            </w:r>
            <w:r>
              <w:rPr>
                <w:rStyle w:val="114"/>
                <w:rFonts w:eastAsia="华文中宋"/>
                <w:color w:val="auto"/>
                <w:lang w:bidi="ar"/>
              </w:rPr>
              <w:t>80km/h</w:t>
            </w:r>
            <w:r>
              <w:rPr>
                <w:rStyle w:val="111"/>
                <w:color w:val="auto"/>
                <w:lang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105000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105000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2028</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17</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7"/>
                <w:rFonts w:eastAsia="宋体"/>
                <w:color w:val="auto"/>
                <w:lang w:bidi="ar"/>
              </w:rPr>
              <w:t>S247</w:t>
            </w:r>
            <w:r>
              <w:rPr>
                <w:rStyle w:val="118"/>
                <w:color w:val="auto"/>
                <w:lang w:bidi="ar"/>
              </w:rPr>
              <w:t>叶集段新建工程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8"/>
                <w:color w:val="auto"/>
                <w:lang w:bidi="ar"/>
              </w:rPr>
              <w:t>包含</w:t>
            </w:r>
            <w:r>
              <w:rPr>
                <w:rStyle w:val="117"/>
                <w:rFonts w:eastAsia="华文中宋"/>
                <w:color w:val="auto"/>
                <w:lang w:bidi="ar"/>
              </w:rPr>
              <w:t>2</w:t>
            </w:r>
            <w:r>
              <w:rPr>
                <w:rStyle w:val="118"/>
                <w:color w:val="auto"/>
                <w:lang w:bidi="ar"/>
              </w:rPr>
              <w:t>个子项目：</w:t>
            </w:r>
            <w:r>
              <w:rPr>
                <w:rStyle w:val="117"/>
                <w:rFonts w:eastAsia="华文中宋"/>
                <w:color w:val="auto"/>
                <w:lang w:bidi="ar"/>
              </w:rPr>
              <w:t>S247</w:t>
            </w:r>
            <w:r>
              <w:rPr>
                <w:rStyle w:val="118"/>
                <w:color w:val="auto"/>
                <w:lang w:bidi="ar"/>
              </w:rPr>
              <w:t>叶集段新建工程（三元粉坊段</w:t>
            </w:r>
            <w:r>
              <w:rPr>
                <w:rStyle w:val="118"/>
                <w:rFonts w:hint="eastAsia"/>
                <w:color w:val="auto"/>
                <w:lang w:bidi="ar"/>
              </w:rPr>
              <w:t xml:space="preserve"> </w:t>
            </w:r>
            <w:r>
              <w:rPr>
                <w:rStyle w:val="118"/>
                <w:color w:val="auto"/>
                <w:lang w:bidi="ar"/>
              </w:rPr>
              <w:t>），全长约</w:t>
            </w:r>
            <w:r>
              <w:rPr>
                <w:rStyle w:val="117"/>
                <w:rFonts w:eastAsia="华文中宋"/>
                <w:color w:val="auto"/>
                <w:lang w:bidi="ar"/>
              </w:rPr>
              <w:t>3km</w:t>
            </w:r>
            <w:r>
              <w:rPr>
                <w:rStyle w:val="118"/>
                <w:color w:val="auto"/>
                <w:lang w:bidi="ar"/>
              </w:rPr>
              <w:t>，起点位于叶集至霍邱交界处，终点位于三元镇S245相接，二级公路，路基宽度</w:t>
            </w:r>
            <w:r>
              <w:rPr>
                <w:rStyle w:val="117"/>
                <w:rFonts w:eastAsia="华文中宋"/>
                <w:color w:val="auto"/>
                <w:lang w:bidi="ar"/>
              </w:rPr>
              <w:t>12m</w:t>
            </w:r>
            <w:r>
              <w:rPr>
                <w:rStyle w:val="118"/>
                <w:color w:val="auto"/>
                <w:lang w:bidi="ar"/>
              </w:rPr>
              <w:t>，设计时速</w:t>
            </w:r>
            <w:r>
              <w:rPr>
                <w:rStyle w:val="117"/>
                <w:rFonts w:eastAsia="华文中宋"/>
                <w:color w:val="auto"/>
                <w:lang w:bidi="ar"/>
              </w:rPr>
              <w:t>60km/h</w:t>
            </w:r>
            <w:r>
              <w:rPr>
                <w:rStyle w:val="118"/>
                <w:color w:val="auto"/>
                <w:lang w:bidi="ar"/>
              </w:rPr>
              <w:t>。S247叶集段新建工程（平岗和平段），全长约2.4km，起点位于平岗街道龙王庙，终点与金寨县金家寨路相接，按二级公路标准建设，路基宽12m，路面宽10.5m。</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15000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15000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2032</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r>
              <w:rPr>
                <w:rStyle w:val="111"/>
                <w:rFonts w:hint="eastAsia" w:eastAsia="宋体"/>
                <w:color w:val="auto"/>
                <w:lang w:bidi="ar"/>
              </w:rPr>
              <w:t>省储备库</w:t>
            </w:r>
          </w:p>
        </w:tc>
      </w:tr>
      <w:tr>
        <w:tblPrEx>
          <w:tblCellMar>
            <w:top w:w="0" w:type="dxa"/>
            <w:left w:w="108" w:type="dxa"/>
            <w:bottom w:w="0" w:type="dxa"/>
            <w:right w:w="108" w:type="dxa"/>
          </w:tblCellMar>
        </w:tblPrEx>
        <w:trPr>
          <w:cantSplit/>
          <w:trHeight w:val="283" w:hRule="atLeast"/>
        </w:trPr>
        <w:tc>
          <w:tcPr>
            <w:tcW w:w="203"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hint="eastAsia" w:eastAsia="宋体"/>
                <w:b/>
                <w:bCs/>
                <w:sz w:val="21"/>
                <w:szCs w:val="21"/>
              </w:rPr>
              <w:t>站场项目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2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76" w:type="pct"/>
            <w:tcBorders>
              <w:top w:val="nil"/>
              <w:left w:val="nil"/>
              <w:bottom w:val="single" w:color="auto" w:sz="4" w:space="0"/>
              <w:right w:val="nil"/>
            </w:tcBorders>
            <w:shd w:val="clear" w:color="auto" w:fill="auto"/>
            <w:vAlign w:val="center"/>
          </w:tcPr>
          <w:p>
            <w:pPr>
              <w:widowControl/>
              <w:spacing w:line="240" w:lineRule="auto"/>
              <w:ind w:firstLine="0" w:firstLineChars="0"/>
              <w:jc w:val="left"/>
              <w:textAlignment w:val="center"/>
              <w:rPr>
                <w:rFonts w:ascii="华文中宋" w:hAnsi="华文中宋" w:eastAsia="华文中宋" w:cs="华文中宋"/>
                <w:sz w:val="21"/>
                <w:szCs w:val="21"/>
              </w:rPr>
            </w:pP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r>
      <w:tr>
        <w:tblPrEx>
          <w:tblCellMar>
            <w:top w:w="0" w:type="dxa"/>
            <w:left w:w="108" w:type="dxa"/>
            <w:bottom w:w="0" w:type="dxa"/>
            <w:right w:w="108" w:type="dxa"/>
          </w:tblCellMar>
        </w:tblPrEx>
        <w:trPr>
          <w:cantSplit/>
          <w:trHeight w:val="283" w:hRule="atLeast"/>
        </w:trPr>
        <w:tc>
          <w:tcPr>
            <w:tcW w:w="203"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kern w:val="0"/>
                <w:sz w:val="21"/>
                <w:szCs w:val="21"/>
                <w:lang w:bidi="ar"/>
              </w:rPr>
              <w:t>新开工项目</w:t>
            </w: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18</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叶集区</w:t>
            </w:r>
            <w:r>
              <w:rPr>
                <w:rStyle w:val="114"/>
                <w:rFonts w:eastAsia="宋体"/>
                <w:color w:val="auto"/>
                <w:lang w:bidi="ar"/>
              </w:rPr>
              <w:t>G312</w:t>
            </w:r>
            <w:r>
              <w:rPr>
                <w:rStyle w:val="111"/>
                <w:color w:val="auto"/>
                <w:lang w:bidi="ar"/>
              </w:rPr>
              <w:t>公路服务区</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主要建设</w:t>
            </w:r>
            <w:r>
              <w:rPr>
                <w:rStyle w:val="114"/>
                <w:rFonts w:eastAsia="宋体"/>
                <w:color w:val="auto"/>
                <w:lang w:bidi="ar"/>
              </w:rPr>
              <w:t>1</w:t>
            </w:r>
            <w:r>
              <w:rPr>
                <w:rStyle w:val="111"/>
                <w:color w:val="auto"/>
                <w:lang w:bidi="ar"/>
              </w:rPr>
              <w:t>栋三层办公楼、</w:t>
            </w:r>
            <w:r>
              <w:rPr>
                <w:rStyle w:val="114"/>
                <w:rFonts w:eastAsia="宋体"/>
                <w:color w:val="auto"/>
                <w:lang w:bidi="ar"/>
              </w:rPr>
              <w:t>1</w:t>
            </w:r>
            <w:r>
              <w:rPr>
                <w:rStyle w:val="111"/>
                <w:color w:val="auto"/>
                <w:lang w:bidi="ar"/>
              </w:rPr>
              <w:t>栋服务站销售超市、</w:t>
            </w:r>
            <w:r>
              <w:rPr>
                <w:rStyle w:val="114"/>
                <w:rFonts w:eastAsia="宋体"/>
                <w:color w:val="auto"/>
                <w:lang w:bidi="ar"/>
              </w:rPr>
              <w:t>5</w:t>
            </w:r>
            <w:r>
              <w:rPr>
                <w:rStyle w:val="111"/>
                <w:color w:val="auto"/>
                <w:lang w:bidi="ar"/>
              </w:rPr>
              <w:t>座</w:t>
            </w:r>
            <w:r>
              <w:rPr>
                <w:rStyle w:val="114"/>
                <w:rFonts w:eastAsia="宋体"/>
                <w:color w:val="auto"/>
                <w:lang w:bidi="ar"/>
              </w:rPr>
              <w:t>70kw</w:t>
            </w:r>
            <w:r>
              <w:rPr>
                <w:rStyle w:val="111"/>
                <w:color w:val="auto"/>
                <w:lang w:bidi="ar"/>
              </w:rPr>
              <w:t>直流式充电桩、</w:t>
            </w:r>
            <w:r>
              <w:rPr>
                <w:rStyle w:val="114"/>
                <w:rFonts w:eastAsia="宋体"/>
                <w:color w:val="auto"/>
                <w:lang w:bidi="ar"/>
              </w:rPr>
              <w:t>1</w:t>
            </w:r>
            <w:r>
              <w:rPr>
                <w:rStyle w:val="111"/>
                <w:color w:val="auto"/>
                <w:lang w:bidi="ar"/>
              </w:rPr>
              <w:t>座洗车站、</w:t>
            </w:r>
            <w:r>
              <w:rPr>
                <w:rStyle w:val="114"/>
                <w:rFonts w:eastAsia="宋体"/>
                <w:color w:val="auto"/>
                <w:lang w:bidi="ar"/>
              </w:rPr>
              <w:t>1</w:t>
            </w:r>
            <w:r>
              <w:rPr>
                <w:rStyle w:val="111"/>
                <w:color w:val="auto"/>
                <w:lang w:bidi="ar"/>
              </w:rPr>
              <w:t>座燃气加气站（</w:t>
            </w:r>
            <w:r>
              <w:rPr>
                <w:rStyle w:val="114"/>
                <w:rFonts w:eastAsia="宋体"/>
                <w:color w:val="auto"/>
                <w:lang w:bidi="ar"/>
              </w:rPr>
              <w:t>4</w:t>
            </w:r>
            <w:r>
              <w:rPr>
                <w:rStyle w:val="111"/>
                <w:color w:val="auto"/>
                <w:lang w:bidi="ar"/>
              </w:rPr>
              <w:t>台加气机）、</w:t>
            </w:r>
            <w:r>
              <w:rPr>
                <w:rStyle w:val="114"/>
                <w:rFonts w:eastAsia="宋体"/>
                <w:color w:val="auto"/>
                <w:lang w:bidi="ar"/>
              </w:rPr>
              <w:t>1</w:t>
            </w:r>
            <w:r>
              <w:rPr>
                <w:rStyle w:val="111"/>
                <w:color w:val="auto"/>
                <w:lang w:bidi="ar"/>
              </w:rPr>
              <w:t>座加油站（</w:t>
            </w:r>
            <w:r>
              <w:rPr>
                <w:rStyle w:val="114"/>
                <w:rFonts w:eastAsia="宋体"/>
                <w:color w:val="auto"/>
                <w:lang w:bidi="ar"/>
              </w:rPr>
              <w:t>4</w:t>
            </w:r>
            <w:r>
              <w:rPr>
                <w:rStyle w:val="111"/>
                <w:color w:val="auto"/>
                <w:lang w:bidi="ar"/>
              </w:rPr>
              <w:t>台加油机）、</w:t>
            </w:r>
            <w:r>
              <w:rPr>
                <w:rStyle w:val="114"/>
                <w:rFonts w:eastAsia="宋体"/>
                <w:color w:val="auto"/>
                <w:lang w:bidi="ar"/>
              </w:rPr>
              <w:t>1</w:t>
            </w:r>
            <w:r>
              <w:rPr>
                <w:rStyle w:val="111"/>
                <w:color w:val="auto"/>
                <w:lang w:bidi="ar"/>
              </w:rPr>
              <w:t>座氢气加气站（</w:t>
            </w:r>
            <w:r>
              <w:rPr>
                <w:rStyle w:val="114"/>
                <w:rFonts w:eastAsia="宋体"/>
                <w:color w:val="auto"/>
                <w:lang w:bidi="ar"/>
              </w:rPr>
              <w:t>4</w:t>
            </w:r>
            <w:r>
              <w:rPr>
                <w:rStyle w:val="111"/>
                <w:color w:val="auto"/>
                <w:lang w:bidi="ar"/>
              </w:rPr>
              <w:t>台加气机）及其他配套辅助设施。其中一期建设</w:t>
            </w:r>
            <w:r>
              <w:rPr>
                <w:rStyle w:val="114"/>
                <w:rFonts w:eastAsia="宋体"/>
                <w:color w:val="auto"/>
                <w:lang w:bidi="ar"/>
              </w:rPr>
              <w:t>1</w:t>
            </w:r>
            <w:r>
              <w:rPr>
                <w:rStyle w:val="111"/>
                <w:color w:val="auto"/>
                <w:lang w:bidi="ar"/>
              </w:rPr>
              <w:t>栋三层办公楼、</w:t>
            </w:r>
            <w:r>
              <w:rPr>
                <w:rStyle w:val="114"/>
                <w:rFonts w:eastAsia="宋体"/>
                <w:color w:val="auto"/>
                <w:lang w:bidi="ar"/>
              </w:rPr>
              <w:t>1</w:t>
            </w:r>
            <w:r>
              <w:rPr>
                <w:rStyle w:val="111"/>
                <w:color w:val="auto"/>
                <w:lang w:bidi="ar"/>
              </w:rPr>
              <w:t>栋服务站销售超市、</w:t>
            </w:r>
            <w:r>
              <w:rPr>
                <w:rStyle w:val="114"/>
                <w:rFonts w:eastAsia="宋体"/>
                <w:color w:val="auto"/>
                <w:lang w:bidi="ar"/>
              </w:rPr>
              <w:t>5</w:t>
            </w:r>
            <w:r>
              <w:rPr>
                <w:rStyle w:val="111"/>
                <w:color w:val="auto"/>
                <w:lang w:bidi="ar"/>
              </w:rPr>
              <w:t>座</w:t>
            </w:r>
            <w:r>
              <w:rPr>
                <w:rStyle w:val="114"/>
                <w:rFonts w:eastAsia="宋体"/>
                <w:color w:val="auto"/>
                <w:lang w:bidi="ar"/>
              </w:rPr>
              <w:t>70kw</w:t>
            </w:r>
            <w:r>
              <w:rPr>
                <w:rStyle w:val="111"/>
                <w:color w:val="auto"/>
                <w:lang w:bidi="ar"/>
              </w:rPr>
              <w:t>直流式充电桩、</w:t>
            </w:r>
            <w:r>
              <w:rPr>
                <w:rStyle w:val="114"/>
                <w:rFonts w:eastAsia="宋体"/>
                <w:color w:val="auto"/>
                <w:lang w:bidi="ar"/>
              </w:rPr>
              <w:t>1</w:t>
            </w:r>
            <w:r>
              <w:rPr>
                <w:rStyle w:val="111"/>
                <w:color w:val="auto"/>
                <w:lang w:bidi="ar"/>
              </w:rPr>
              <w:t>座洗车站、</w:t>
            </w:r>
            <w:r>
              <w:rPr>
                <w:rStyle w:val="114"/>
                <w:rFonts w:eastAsia="宋体"/>
                <w:color w:val="auto"/>
                <w:lang w:bidi="ar"/>
              </w:rPr>
              <w:t>1</w:t>
            </w:r>
            <w:r>
              <w:rPr>
                <w:rStyle w:val="111"/>
                <w:color w:val="auto"/>
                <w:lang w:bidi="ar"/>
              </w:rPr>
              <w:t>座燃气加气站；二期建设一座加油站及物流园区，总面积占地</w:t>
            </w:r>
            <w:r>
              <w:rPr>
                <w:rStyle w:val="114"/>
                <w:rFonts w:eastAsia="宋体"/>
                <w:color w:val="auto"/>
                <w:lang w:bidi="ar"/>
              </w:rPr>
              <w:t>52</w:t>
            </w:r>
            <w:r>
              <w:rPr>
                <w:rStyle w:val="111"/>
                <w:color w:val="auto"/>
                <w:lang w:bidi="ar"/>
              </w:rPr>
              <w:t>亩；三期建设</w:t>
            </w:r>
            <w:r>
              <w:rPr>
                <w:rStyle w:val="114"/>
                <w:rFonts w:eastAsia="宋体"/>
                <w:color w:val="auto"/>
                <w:lang w:bidi="ar"/>
              </w:rPr>
              <w:t>1</w:t>
            </w:r>
            <w:r>
              <w:rPr>
                <w:rStyle w:val="111"/>
                <w:color w:val="auto"/>
                <w:lang w:bidi="ar"/>
              </w:rPr>
              <w:t>座氢气加气站。</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18000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18000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2026</w:t>
            </w:r>
          </w:p>
        </w:tc>
        <w:tc>
          <w:tcPr>
            <w:tcW w:w="228"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auto" w:sz="4" w:space="0"/>
              <w:left w:val="nil"/>
              <w:bottom w:val="single" w:color="auto" w:sz="4" w:space="0"/>
              <w:right w:val="nil"/>
            </w:tcBorders>
            <w:shd w:val="clear" w:color="auto" w:fill="auto"/>
            <w:vAlign w:val="center"/>
          </w:tcPr>
          <w:p>
            <w:pPr>
              <w:widowControl/>
              <w:spacing w:line="240" w:lineRule="auto"/>
              <w:ind w:firstLine="0" w:firstLineChars="0"/>
              <w:jc w:val="left"/>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区交通局、区商务局、皖西国投</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hint="eastAsia" w:eastAsia="宋体"/>
                <w:sz w:val="21"/>
                <w:szCs w:val="21"/>
              </w:rPr>
              <w:t>市储备库</w:t>
            </w:r>
          </w:p>
        </w:tc>
      </w:tr>
      <w:tr>
        <w:tblPrEx>
          <w:tblCellMar>
            <w:top w:w="0" w:type="dxa"/>
            <w:left w:w="108" w:type="dxa"/>
            <w:bottom w:w="0" w:type="dxa"/>
            <w:right w:w="108" w:type="dxa"/>
          </w:tblCellMar>
        </w:tblPrEx>
        <w:trPr>
          <w:cantSplit/>
          <w:trHeight w:val="283" w:hRule="atLeast"/>
        </w:trPr>
        <w:tc>
          <w:tcPr>
            <w:tcW w:w="203" w:type="pct"/>
            <w:vMerge w:val="restart"/>
            <w:tcBorders>
              <w:top w:val="single" w:color="000000" w:sz="4" w:space="0"/>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kern w:val="0"/>
                <w:sz w:val="21"/>
                <w:szCs w:val="21"/>
                <w:lang w:bidi="ar"/>
              </w:rPr>
            </w:pPr>
            <w:r>
              <w:rPr>
                <w:rFonts w:hint="eastAsia" w:eastAsia="宋体"/>
                <w:b/>
                <w:bCs/>
                <w:kern w:val="0"/>
                <w:sz w:val="21"/>
                <w:szCs w:val="21"/>
                <w:lang w:bidi="ar"/>
              </w:rPr>
              <w:t>谋划储备项目</w:t>
            </w: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19</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叶集通用机场</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5"/>
                <w:rFonts w:eastAsia="宋体"/>
                <w:color w:val="auto"/>
                <w:lang w:bidi="ar"/>
              </w:rPr>
              <w:t>A2</w:t>
            </w:r>
            <w:r>
              <w:rPr>
                <w:rStyle w:val="116"/>
                <w:color w:val="auto"/>
                <w:lang w:bidi="ar"/>
              </w:rPr>
              <w:t>级通用机场，满足</w:t>
            </w:r>
            <w:r>
              <w:rPr>
                <w:rStyle w:val="115"/>
                <w:rFonts w:eastAsia="宋体"/>
                <w:color w:val="auto"/>
                <w:lang w:bidi="ar"/>
              </w:rPr>
              <w:t>5-9</w:t>
            </w:r>
            <w:r>
              <w:rPr>
                <w:rStyle w:val="116"/>
                <w:color w:val="auto"/>
                <w:lang w:bidi="ar"/>
              </w:rPr>
              <w:t>座固定翼航空器商业飞行和直升机飞行。占地约</w:t>
            </w:r>
            <w:r>
              <w:rPr>
                <w:rStyle w:val="115"/>
                <w:rFonts w:eastAsia="宋体"/>
                <w:color w:val="auto"/>
                <w:lang w:bidi="ar"/>
              </w:rPr>
              <w:t>450</w:t>
            </w:r>
            <w:r>
              <w:rPr>
                <w:rStyle w:val="116"/>
                <w:color w:val="auto"/>
                <w:lang w:bidi="ar"/>
              </w:rPr>
              <w:t>亩，新建一条</w:t>
            </w:r>
            <w:r>
              <w:rPr>
                <w:rStyle w:val="115"/>
                <w:rFonts w:eastAsia="宋体"/>
                <w:color w:val="auto"/>
                <w:lang w:bidi="ar"/>
              </w:rPr>
              <w:t>800*23m</w:t>
            </w:r>
            <w:r>
              <w:rPr>
                <w:rStyle w:val="116"/>
                <w:color w:val="auto"/>
                <w:lang w:bidi="ar"/>
              </w:rPr>
              <w:t>跑道，航站综合楼、停机坪、气象观测站、机库、特种车库、加油装置等，同步在姚李</w:t>
            </w:r>
            <w:r>
              <w:rPr>
                <w:rStyle w:val="116"/>
                <w:rFonts w:hint="eastAsia"/>
                <w:color w:val="auto"/>
                <w:lang w:bidi="ar"/>
              </w:rPr>
              <w:t>（两个）</w:t>
            </w:r>
            <w:r>
              <w:rPr>
                <w:rStyle w:val="116"/>
                <w:color w:val="auto"/>
                <w:lang w:bidi="ar"/>
              </w:rPr>
              <w:t>、三元、洪集建设</w:t>
            </w:r>
            <w:r>
              <w:rPr>
                <w:rStyle w:val="115"/>
                <w:rFonts w:eastAsia="宋体"/>
                <w:color w:val="auto"/>
                <w:lang w:bidi="ar"/>
              </w:rPr>
              <w:t>4</w:t>
            </w:r>
            <w:r>
              <w:rPr>
                <w:rStyle w:val="116"/>
                <w:color w:val="auto"/>
                <w:lang w:bidi="ar"/>
              </w:rPr>
              <w:t>个起降点。</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30000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2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2032</w:t>
            </w:r>
          </w:p>
        </w:tc>
        <w:tc>
          <w:tcPr>
            <w:tcW w:w="276" w:type="pct"/>
            <w:tcBorders>
              <w:top w:val="single" w:color="auto" w:sz="4" w:space="0"/>
              <w:left w:val="nil"/>
              <w:bottom w:val="nil"/>
              <w:right w:val="nil"/>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Fonts w:hint="eastAsia" w:eastAsia="宋体"/>
                <w:sz w:val="21"/>
                <w:szCs w:val="21"/>
              </w:rPr>
              <w:t>市储备库</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20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G40</w:t>
            </w:r>
            <w:r>
              <w:rPr>
                <w:rStyle w:val="111"/>
                <w:color w:val="auto"/>
                <w:lang w:bidi="ar"/>
              </w:rPr>
              <w:t>沪陕高速叶集服务区项目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Style w:val="111"/>
                <w:color w:val="auto"/>
                <w:lang w:bidi="ar"/>
              </w:rPr>
              <w:t>规划位置位于金叶大道东侧，新建南北服务区各</w:t>
            </w:r>
            <w:r>
              <w:rPr>
                <w:rStyle w:val="114"/>
                <w:rFonts w:eastAsia="华文中宋"/>
                <w:color w:val="auto"/>
                <w:lang w:bidi="ar"/>
              </w:rPr>
              <w:t>1</w:t>
            </w:r>
            <w:r>
              <w:rPr>
                <w:rStyle w:val="111"/>
                <w:color w:val="auto"/>
                <w:lang w:bidi="ar"/>
              </w:rPr>
              <w:t>个，总占地约</w:t>
            </w:r>
            <w:r>
              <w:rPr>
                <w:rStyle w:val="114"/>
                <w:rFonts w:eastAsia="华文中宋"/>
                <w:color w:val="auto"/>
                <w:lang w:bidi="ar"/>
              </w:rPr>
              <w:t>280</w:t>
            </w:r>
            <w:r>
              <w:rPr>
                <w:rStyle w:val="111"/>
                <w:color w:val="auto"/>
                <w:lang w:bidi="ar"/>
              </w:rPr>
              <w:t>亩，总建筑面积</w:t>
            </w:r>
            <w:r>
              <w:rPr>
                <w:rStyle w:val="114"/>
                <w:rFonts w:eastAsia="华文中宋"/>
                <w:color w:val="auto"/>
                <w:lang w:bidi="ar"/>
              </w:rPr>
              <w:t>13000m²</w:t>
            </w:r>
            <w:r>
              <w:rPr>
                <w:rStyle w:val="111"/>
                <w:color w:val="auto"/>
                <w:lang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30000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2026</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省交控</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rPr>
                <w:rFonts w:eastAsia="宋体"/>
                <w:sz w:val="21"/>
                <w:szCs w:val="21"/>
              </w:rPr>
            </w:pPr>
          </w:p>
        </w:tc>
      </w:tr>
      <w:tr>
        <w:tblPrEx>
          <w:tblCellMar>
            <w:top w:w="0" w:type="dxa"/>
            <w:left w:w="108" w:type="dxa"/>
            <w:bottom w:w="0" w:type="dxa"/>
            <w:right w:w="108" w:type="dxa"/>
          </w:tblCellMar>
        </w:tblPrEx>
        <w:trPr>
          <w:cantSplit/>
          <w:trHeight w:val="283" w:hRule="atLeast"/>
        </w:trPr>
        <w:tc>
          <w:tcPr>
            <w:tcW w:w="203"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hint="eastAsia" w:eastAsia="宋体"/>
                <w:b/>
                <w:bCs/>
                <w:sz w:val="21"/>
                <w:szCs w:val="21"/>
              </w:rPr>
              <w:t>农村公路、码头及其它项目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p>
        </w:tc>
      </w:tr>
      <w:tr>
        <w:tblPrEx>
          <w:tblCellMar>
            <w:top w:w="0" w:type="dxa"/>
            <w:left w:w="108" w:type="dxa"/>
            <w:bottom w:w="0" w:type="dxa"/>
            <w:right w:w="108" w:type="dxa"/>
          </w:tblCellMar>
        </w:tblPrEx>
        <w:trPr>
          <w:cantSplit/>
          <w:trHeight w:val="283" w:hRule="atLeast"/>
        </w:trPr>
        <w:tc>
          <w:tcPr>
            <w:tcW w:w="203" w:type="pct"/>
            <w:vMerge w:val="restart"/>
            <w:tcBorders>
              <w:top w:val="single" w:color="000000" w:sz="4" w:space="0"/>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kern w:val="0"/>
                <w:sz w:val="21"/>
                <w:szCs w:val="21"/>
                <w:lang w:bidi="ar"/>
              </w:rPr>
              <w:t>新开工项目</w:t>
            </w: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21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普通国省道养护工程</w:t>
            </w:r>
          </w:p>
        </w:tc>
        <w:tc>
          <w:tcPr>
            <w:tcW w:w="1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1.</w:t>
            </w:r>
            <w:r>
              <w:rPr>
                <w:rStyle w:val="111"/>
                <w:color w:val="auto"/>
                <w:lang w:bidi="ar"/>
              </w:rPr>
              <w:t>普通国省干线公路路面修复养护工程</w:t>
            </w:r>
            <w:r>
              <w:rPr>
                <w:rStyle w:val="114"/>
                <w:rFonts w:eastAsia="宋体"/>
                <w:color w:val="auto"/>
                <w:lang w:bidi="ar"/>
              </w:rPr>
              <w:t>55.613km</w:t>
            </w:r>
            <w:r>
              <w:rPr>
                <w:rStyle w:val="111"/>
                <w:color w:val="auto"/>
                <w:lang w:bidi="ar"/>
              </w:rPr>
              <w:t>（</w:t>
            </w:r>
            <w:r>
              <w:rPr>
                <w:rStyle w:val="114"/>
                <w:rFonts w:eastAsia="宋体"/>
                <w:color w:val="auto"/>
                <w:lang w:bidi="ar"/>
              </w:rPr>
              <w:t>G312</w:t>
            </w:r>
            <w:r>
              <w:rPr>
                <w:rStyle w:val="111"/>
                <w:color w:val="auto"/>
                <w:lang w:bidi="ar"/>
              </w:rPr>
              <w:t>沪霍线叶集荷棚至六安叶集河南界段</w:t>
            </w:r>
            <w:r>
              <w:rPr>
                <w:rStyle w:val="114"/>
                <w:rFonts w:eastAsia="宋体"/>
                <w:color w:val="auto"/>
                <w:lang w:bidi="ar"/>
              </w:rPr>
              <w:t>4.45km</w:t>
            </w:r>
            <w:r>
              <w:rPr>
                <w:rStyle w:val="111"/>
                <w:color w:val="auto"/>
                <w:lang w:bidi="ar"/>
              </w:rPr>
              <w:t>、</w:t>
            </w:r>
            <w:r>
              <w:rPr>
                <w:rStyle w:val="114"/>
                <w:rFonts w:eastAsia="宋体"/>
                <w:color w:val="auto"/>
                <w:lang w:bidi="ar"/>
              </w:rPr>
              <w:t>S437</w:t>
            </w:r>
            <w:r>
              <w:rPr>
                <w:rStyle w:val="111"/>
                <w:color w:val="auto"/>
                <w:lang w:bidi="ar"/>
              </w:rPr>
              <w:t>木黎路叶集洪集南</w:t>
            </w:r>
            <w:r>
              <w:rPr>
                <w:rStyle w:val="114"/>
                <w:rFonts w:eastAsia="宋体"/>
                <w:color w:val="auto"/>
                <w:lang w:bidi="ar"/>
              </w:rPr>
              <w:t>105</w:t>
            </w:r>
            <w:r>
              <w:rPr>
                <w:rStyle w:val="111"/>
                <w:color w:val="auto"/>
                <w:lang w:bidi="ar"/>
              </w:rPr>
              <w:t>交口至叶集三元段</w:t>
            </w:r>
            <w:r>
              <w:rPr>
                <w:rStyle w:val="114"/>
                <w:rFonts w:eastAsia="宋体"/>
                <w:color w:val="auto"/>
                <w:lang w:bidi="ar"/>
              </w:rPr>
              <w:t>13.644km</w:t>
            </w:r>
            <w:r>
              <w:rPr>
                <w:rStyle w:val="111"/>
                <w:color w:val="auto"/>
                <w:lang w:bidi="ar"/>
              </w:rPr>
              <w:t>、</w:t>
            </w:r>
            <w:r>
              <w:rPr>
                <w:rStyle w:val="114"/>
                <w:rFonts w:eastAsia="宋体"/>
                <w:color w:val="auto"/>
                <w:lang w:bidi="ar"/>
              </w:rPr>
              <w:t>G105</w:t>
            </w:r>
            <w:r>
              <w:rPr>
                <w:rStyle w:val="111"/>
                <w:color w:val="auto"/>
                <w:lang w:bidi="ar"/>
              </w:rPr>
              <w:t>京澳线叶集老桥至姚李立交桥下段</w:t>
            </w:r>
            <w:r>
              <w:rPr>
                <w:rStyle w:val="114"/>
                <w:rFonts w:eastAsia="宋体"/>
                <w:color w:val="auto"/>
                <w:lang w:bidi="ar"/>
              </w:rPr>
              <w:t>15.742km</w:t>
            </w:r>
            <w:r>
              <w:rPr>
                <w:rStyle w:val="111"/>
                <w:color w:val="auto"/>
                <w:lang w:bidi="ar"/>
              </w:rPr>
              <w:t>、</w:t>
            </w:r>
            <w:r>
              <w:rPr>
                <w:rStyle w:val="114"/>
                <w:rFonts w:eastAsia="宋体"/>
                <w:color w:val="auto"/>
                <w:lang w:bidi="ar"/>
              </w:rPr>
              <w:t>S439</w:t>
            </w:r>
            <w:r>
              <w:rPr>
                <w:rStyle w:val="111"/>
                <w:color w:val="auto"/>
                <w:lang w:bidi="ar"/>
              </w:rPr>
              <w:t>姚叶路叶集平岗朱畈村至河南陈淋子段</w:t>
            </w:r>
            <w:r>
              <w:rPr>
                <w:rStyle w:val="114"/>
                <w:rFonts w:eastAsia="宋体"/>
                <w:color w:val="auto"/>
                <w:lang w:bidi="ar"/>
              </w:rPr>
              <w:t>5.168km</w:t>
            </w:r>
            <w:r>
              <w:rPr>
                <w:rStyle w:val="111"/>
                <w:color w:val="auto"/>
                <w:lang w:bidi="ar"/>
              </w:rPr>
              <w:t>、</w:t>
            </w:r>
            <w:r>
              <w:rPr>
                <w:rStyle w:val="114"/>
                <w:rFonts w:eastAsia="宋体"/>
                <w:color w:val="auto"/>
                <w:lang w:bidi="ar"/>
              </w:rPr>
              <w:t>S245</w:t>
            </w:r>
            <w:r>
              <w:rPr>
                <w:rStyle w:val="111"/>
                <w:color w:val="auto"/>
                <w:lang w:bidi="ar"/>
              </w:rPr>
              <w:t>新斑路叶集区三元北至叶集孙岗段</w:t>
            </w:r>
            <w:r>
              <w:rPr>
                <w:rStyle w:val="114"/>
                <w:rFonts w:eastAsia="宋体"/>
                <w:color w:val="auto"/>
                <w:lang w:bidi="ar"/>
              </w:rPr>
              <w:t>13.925km</w:t>
            </w:r>
            <w:r>
              <w:rPr>
                <w:rStyle w:val="111"/>
                <w:color w:val="auto"/>
                <w:lang w:bidi="ar"/>
              </w:rPr>
              <w:t>、</w:t>
            </w:r>
            <w:r>
              <w:rPr>
                <w:rStyle w:val="114"/>
                <w:rFonts w:eastAsia="宋体"/>
                <w:color w:val="auto"/>
                <w:lang w:bidi="ar"/>
              </w:rPr>
              <w:t>S245</w:t>
            </w:r>
            <w:r>
              <w:rPr>
                <w:rStyle w:val="111"/>
                <w:color w:val="auto"/>
                <w:lang w:bidi="ar"/>
              </w:rPr>
              <w:t>新斑路叶集孙岗至叶集荷棚连接线段</w:t>
            </w:r>
            <w:r>
              <w:rPr>
                <w:rStyle w:val="114"/>
                <w:rFonts w:eastAsia="宋体"/>
                <w:color w:val="auto"/>
                <w:lang w:bidi="ar"/>
              </w:rPr>
              <w:t>2.684km</w:t>
            </w:r>
            <w:r>
              <w:rPr>
                <w:rStyle w:val="111"/>
                <w:color w:val="auto"/>
                <w:lang w:bidi="ar"/>
              </w:rPr>
              <w:t>）；</w:t>
            </w:r>
            <w:r>
              <w:rPr>
                <w:rStyle w:val="114"/>
                <w:rFonts w:eastAsia="宋体"/>
                <w:color w:val="auto"/>
                <w:lang w:bidi="ar"/>
              </w:rPr>
              <w:t>2.</w:t>
            </w:r>
            <w:r>
              <w:rPr>
                <w:rStyle w:val="111"/>
                <w:color w:val="auto"/>
                <w:lang w:bidi="ar"/>
              </w:rPr>
              <w:t>国省干线公路安全设施精细化提升工程共改造</w:t>
            </w:r>
            <w:r>
              <w:rPr>
                <w:rStyle w:val="114"/>
                <w:rFonts w:eastAsia="宋体"/>
                <w:color w:val="auto"/>
                <w:lang w:bidi="ar"/>
              </w:rPr>
              <w:t>60.465km</w:t>
            </w:r>
            <w:r>
              <w:rPr>
                <w:rStyle w:val="111"/>
                <w:color w:val="auto"/>
                <w:lang w:bidi="ar"/>
              </w:rPr>
              <w:t>（</w:t>
            </w:r>
            <w:r>
              <w:rPr>
                <w:rStyle w:val="114"/>
                <w:rFonts w:eastAsia="宋体"/>
                <w:color w:val="auto"/>
                <w:lang w:bidi="ar"/>
              </w:rPr>
              <w:t>S245</w:t>
            </w:r>
            <w:r>
              <w:rPr>
                <w:rStyle w:val="111"/>
                <w:color w:val="auto"/>
                <w:lang w:bidi="ar"/>
              </w:rPr>
              <w:t>叶集段</w:t>
            </w:r>
            <w:r>
              <w:rPr>
                <w:rStyle w:val="114"/>
                <w:rFonts w:eastAsia="宋体"/>
                <w:color w:val="auto"/>
                <w:lang w:bidi="ar"/>
              </w:rPr>
              <w:t>23.67km</w:t>
            </w:r>
            <w:r>
              <w:rPr>
                <w:rStyle w:val="111"/>
                <w:color w:val="auto"/>
                <w:lang w:bidi="ar"/>
              </w:rPr>
              <w:t>，</w:t>
            </w:r>
            <w:r>
              <w:rPr>
                <w:rStyle w:val="114"/>
                <w:rFonts w:eastAsia="宋体"/>
                <w:color w:val="auto"/>
                <w:lang w:bidi="ar"/>
              </w:rPr>
              <w:t>S251</w:t>
            </w:r>
            <w:r>
              <w:rPr>
                <w:rStyle w:val="111"/>
                <w:color w:val="auto"/>
                <w:lang w:bidi="ar"/>
              </w:rPr>
              <w:t>叶集段</w:t>
            </w:r>
            <w:r>
              <w:rPr>
                <w:rStyle w:val="114"/>
                <w:rFonts w:eastAsia="宋体"/>
                <w:color w:val="auto"/>
                <w:lang w:bidi="ar"/>
              </w:rPr>
              <w:t>8.612km</w:t>
            </w:r>
            <w:r>
              <w:rPr>
                <w:rStyle w:val="111"/>
                <w:color w:val="auto"/>
                <w:lang w:bidi="ar"/>
              </w:rPr>
              <w:t>，</w:t>
            </w:r>
            <w:r>
              <w:rPr>
                <w:rStyle w:val="114"/>
                <w:rFonts w:eastAsia="宋体"/>
                <w:color w:val="auto"/>
                <w:lang w:bidi="ar"/>
              </w:rPr>
              <w:t>S437</w:t>
            </w:r>
            <w:r>
              <w:rPr>
                <w:rStyle w:val="111"/>
                <w:color w:val="auto"/>
                <w:lang w:bidi="ar"/>
              </w:rPr>
              <w:t>叶集段</w:t>
            </w:r>
            <w:r>
              <w:rPr>
                <w:rStyle w:val="114"/>
                <w:rFonts w:eastAsia="宋体"/>
                <w:color w:val="auto"/>
                <w:lang w:bidi="ar"/>
              </w:rPr>
              <w:t>15.543km</w:t>
            </w:r>
            <w:r>
              <w:rPr>
                <w:rStyle w:val="111"/>
                <w:color w:val="auto"/>
                <w:lang w:bidi="ar"/>
              </w:rPr>
              <w:t>，</w:t>
            </w:r>
            <w:r>
              <w:rPr>
                <w:rStyle w:val="114"/>
                <w:rFonts w:eastAsia="宋体"/>
                <w:color w:val="auto"/>
                <w:lang w:bidi="ar"/>
              </w:rPr>
              <w:t>S329</w:t>
            </w:r>
            <w:r>
              <w:rPr>
                <w:rStyle w:val="111"/>
                <w:color w:val="auto"/>
                <w:lang w:bidi="ar"/>
              </w:rPr>
              <w:t>叶集段</w:t>
            </w:r>
            <w:r>
              <w:rPr>
                <w:rStyle w:val="114"/>
                <w:rFonts w:eastAsia="宋体"/>
                <w:color w:val="auto"/>
                <w:lang w:bidi="ar"/>
              </w:rPr>
              <w:t>12.64km</w:t>
            </w:r>
            <w:r>
              <w:rPr>
                <w:rStyle w:val="111"/>
                <w:color w:val="auto"/>
                <w:lang w:bidi="ar"/>
              </w:rPr>
              <w:t>）；</w:t>
            </w:r>
            <w:r>
              <w:rPr>
                <w:rStyle w:val="114"/>
                <w:rFonts w:eastAsia="宋体"/>
                <w:color w:val="auto"/>
                <w:lang w:bidi="ar"/>
              </w:rPr>
              <w:t>3.</w:t>
            </w:r>
            <w:r>
              <w:rPr>
                <w:rStyle w:val="111"/>
                <w:color w:val="auto"/>
                <w:lang w:bidi="ar"/>
              </w:rPr>
              <w:t>省道危桥改造</w:t>
            </w:r>
            <w:r>
              <w:rPr>
                <w:rStyle w:val="114"/>
                <w:rFonts w:eastAsia="宋体"/>
                <w:color w:val="auto"/>
                <w:lang w:bidi="ar"/>
              </w:rPr>
              <w:t>2</w:t>
            </w:r>
            <w:r>
              <w:rPr>
                <w:rStyle w:val="111"/>
                <w:color w:val="auto"/>
                <w:lang w:bidi="ar"/>
              </w:rPr>
              <w:t>座（分别是看花楼桥、看花楼闸桥）。</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18156</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18156</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2026</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Style w:val="111"/>
                <w:color w:val="auto"/>
                <w:lang w:bidi="ar"/>
              </w:rPr>
              <w:t>逐年申报实施</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22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农村公路建设项目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新改建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初步按照县乡道提档升级</w:t>
            </w:r>
            <w:r>
              <w:rPr>
                <w:rStyle w:val="114"/>
                <w:rFonts w:eastAsia="宋体"/>
                <w:color w:val="auto"/>
                <w:lang w:bidi="ar"/>
              </w:rPr>
              <w:t>10km</w:t>
            </w:r>
            <w:r>
              <w:rPr>
                <w:rStyle w:val="111"/>
                <w:color w:val="auto"/>
                <w:lang w:bidi="ar"/>
              </w:rPr>
              <w:t>，联网路</w:t>
            </w:r>
            <w:r>
              <w:rPr>
                <w:rStyle w:val="114"/>
                <w:rFonts w:eastAsia="宋体"/>
                <w:color w:val="auto"/>
                <w:lang w:bidi="ar"/>
              </w:rPr>
              <w:t>50km</w:t>
            </w:r>
            <w:r>
              <w:rPr>
                <w:rStyle w:val="111"/>
                <w:color w:val="auto"/>
                <w:lang w:bidi="ar"/>
              </w:rPr>
              <w:t>，危桥改造</w:t>
            </w:r>
            <w:r>
              <w:rPr>
                <w:rStyle w:val="114"/>
                <w:rFonts w:eastAsia="宋体"/>
                <w:color w:val="auto"/>
                <w:lang w:bidi="ar"/>
              </w:rPr>
              <w:t>9</w:t>
            </w:r>
            <w:r>
              <w:rPr>
                <w:rStyle w:val="111"/>
                <w:color w:val="auto"/>
                <w:lang w:bidi="ar"/>
              </w:rPr>
              <w:t>座；农村公路养护工程</w:t>
            </w:r>
            <w:r>
              <w:rPr>
                <w:rStyle w:val="114"/>
                <w:rFonts w:eastAsia="宋体"/>
                <w:color w:val="auto"/>
                <w:lang w:bidi="ar"/>
              </w:rPr>
              <w:t>280km</w:t>
            </w:r>
            <w:r>
              <w:rPr>
                <w:rStyle w:val="111"/>
                <w:color w:val="auto"/>
                <w:lang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16020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16020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2026</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区交通局、各乡镇街</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Style w:val="111"/>
                <w:color w:val="auto"/>
                <w:lang w:bidi="ar"/>
              </w:rPr>
              <w:t>逐年申报实施</w:t>
            </w:r>
          </w:p>
        </w:tc>
      </w:tr>
      <w:tr>
        <w:tblPrEx>
          <w:tblCellMar>
            <w:top w:w="0" w:type="dxa"/>
            <w:left w:w="108" w:type="dxa"/>
            <w:bottom w:w="0" w:type="dxa"/>
            <w:right w:w="108" w:type="dxa"/>
          </w:tblCellMar>
        </w:tblPrEx>
        <w:trPr>
          <w:cantSplit/>
          <w:trHeight w:val="283" w:hRule="atLeast"/>
        </w:trPr>
        <w:tc>
          <w:tcPr>
            <w:tcW w:w="203" w:type="pct"/>
            <w:vMerge w:val="continue"/>
            <w:tcBorders>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23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叶集新能源公交车及信息化设备更新改造项目</w:t>
            </w:r>
          </w:p>
        </w:tc>
        <w:tc>
          <w:tcPr>
            <w:tcW w:w="1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改造</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4"/>
                <w:rFonts w:eastAsia="宋体"/>
                <w:color w:val="auto"/>
                <w:lang w:bidi="ar"/>
              </w:rPr>
              <w:t>1</w:t>
            </w:r>
            <w:r>
              <w:rPr>
                <w:rStyle w:val="111"/>
                <w:color w:val="auto"/>
                <w:lang w:bidi="ar"/>
              </w:rPr>
              <w:t>原有公交信息化平台升级改造；</w:t>
            </w:r>
            <w:r>
              <w:rPr>
                <w:rStyle w:val="114"/>
                <w:rFonts w:eastAsia="宋体"/>
                <w:color w:val="auto"/>
                <w:lang w:bidi="ar"/>
              </w:rPr>
              <w:t>2.</w:t>
            </w:r>
            <w:r>
              <w:rPr>
                <w:rStyle w:val="111"/>
                <w:color w:val="auto"/>
                <w:lang w:bidi="ar"/>
              </w:rPr>
              <w:t>利用</w:t>
            </w:r>
            <w:r>
              <w:rPr>
                <w:rStyle w:val="114"/>
                <w:rFonts w:eastAsia="宋体"/>
                <w:color w:val="auto"/>
                <w:lang w:bidi="ar"/>
              </w:rPr>
              <w:t>5G</w:t>
            </w:r>
            <w:r>
              <w:rPr>
                <w:rStyle w:val="111"/>
                <w:color w:val="auto"/>
                <w:lang w:bidi="ar"/>
              </w:rPr>
              <w:t>、云计算、大数据等新兴技术，建设一套先进的出租车综合服务监管系统，同时为全区</w:t>
            </w:r>
            <w:r>
              <w:rPr>
                <w:rStyle w:val="114"/>
                <w:rFonts w:eastAsia="宋体"/>
                <w:color w:val="auto"/>
                <w:lang w:bidi="ar"/>
              </w:rPr>
              <w:t>169</w:t>
            </w:r>
            <w:r>
              <w:rPr>
                <w:rStyle w:val="111"/>
                <w:color w:val="auto"/>
                <w:lang w:bidi="ar"/>
              </w:rPr>
              <w:t>辆巡游出租汽车安装智能服务终端设备，实现对巡游出租车的实时调度监控。</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2026</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2028</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Style w:val="111"/>
                <w:color w:val="auto"/>
                <w:lang w:bidi="ar"/>
              </w:rPr>
              <w:t>逐年更新改造</w:t>
            </w:r>
          </w:p>
        </w:tc>
      </w:tr>
      <w:tr>
        <w:tblPrEx>
          <w:tblCellMar>
            <w:top w:w="0" w:type="dxa"/>
            <w:left w:w="108" w:type="dxa"/>
            <w:bottom w:w="0" w:type="dxa"/>
            <w:right w:w="108" w:type="dxa"/>
          </w:tblCellMar>
        </w:tblPrEx>
        <w:trPr>
          <w:cantSplit/>
          <w:trHeight w:val="283" w:hRule="atLeast"/>
        </w:trPr>
        <w:tc>
          <w:tcPr>
            <w:tcW w:w="203"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jc w:val="center"/>
              <w:textAlignment w:val="center"/>
              <w:rPr>
                <w:rFonts w:eastAsia="宋体"/>
                <w:b/>
                <w:bCs/>
                <w:sz w:val="21"/>
                <w:szCs w:val="21"/>
              </w:rPr>
            </w:pPr>
            <w:r>
              <w:rPr>
                <w:rFonts w:hint="eastAsia" w:eastAsia="宋体"/>
                <w:b/>
                <w:bCs/>
                <w:kern w:val="0"/>
                <w:sz w:val="21"/>
                <w:szCs w:val="21"/>
                <w:lang w:bidi="ar"/>
              </w:rPr>
              <w:t>谋划储备项目</w:t>
            </w:r>
          </w:p>
        </w:tc>
        <w:tc>
          <w:tcPr>
            <w:tcW w:w="130"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kern w:val="0"/>
                <w:sz w:val="21"/>
                <w:szCs w:val="21"/>
                <w:lang w:bidi="ar"/>
              </w:rPr>
            </w:pPr>
            <w:r>
              <w:rPr>
                <w:rFonts w:hint="eastAsia" w:eastAsia="宋体"/>
                <w:kern w:val="0"/>
                <w:sz w:val="21"/>
                <w:szCs w:val="21"/>
                <w:lang w:bidi="ar"/>
              </w:rPr>
              <w:t>24</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叶集作业区综合码头</w:t>
            </w:r>
          </w:p>
        </w:tc>
        <w:tc>
          <w:tcPr>
            <w:tcW w:w="1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新建</w:t>
            </w:r>
          </w:p>
        </w:tc>
        <w:tc>
          <w:tcPr>
            <w:tcW w:w="1408"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spacing w:line="240" w:lineRule="auto"/>
              <w:ind w:firstLine="0" w:firstLineChars="0"/>
              <w:textAlignment w:val="center"/>
              <w:rPr>
                <w:rFonts w:eastAsia="宋体"/>
                <w:sz w:val="21"/>
                <w:szCs w:val="21"/>
              </w:rPr>
            </w:pPr>
            <w:r>
              <w:rPr>
                <w:rStyle w:val="111"/>
                <w:color w:val="auto"/>
                <w:lang w:bidi="ar"/>
              </w:rPr>
              <w:t>拟建</w:t>
            </w:r>
            <w:r>
              <w:rPr>
                <w:rStyle w:val="114"/>
                <w:rFonts w:eastAsia="宋体"/>
                <w:color w:val="auto"/>
                <w:lang w:bidi="ar"/>
              </w:rPr>
              <w:t xml:space="preserve"> 4 </w:t>
            </w:r>
            <w:r>
              <w:rPr>
                <w:rStyle w:val="111"/>
                <w:color w:val="auto"/>
                <w:lang w:bidi="ar"/>
              </w:rPr>
              <w:t>个</w:t>
            </w:r>
            <w:r>
              <w:rPr>
                <w:rStyle w:val="114"/>
                <w:rFonts w:eastAsia="宋体"/>
                <w:color w:val="auto"/>
                <w:lang w:bidi="ar"/>
              </w:rPr>
              <w:t xml:space="preserve">500 </w:t>
            </w:r>
            <w:r>
              <w:rPr>
                <w:rStyle w:val="111"/>
                <w:color w:val="auto"/>
                <w:lang w:bidi="ar"/>
              </w:rPr>
              <w:t>吨级兼顾</w:t>
            </w:r>
            <w:r>
              <w:rPr>
                <w:rStyle w:val="114"/>
                <w:rFonts w:eastAsia="宋体"/>
                <w:color w:val="auto"/>
                <w:lang w:bidi="ar"/>
              </w:rPr>
              <w:t xml:space="preserve"> 1000 </w:t>
            </w:r>
            <w:r>
              <w:rPr>
                <w:rStyle w:val="111"/>
                <w:color w:val="auto"/>
                <w:lang w:bidi="ar"/>
              </w:rPr>
              <w:t>吨级泊位，占地</w:t>
            </w:r>
            <w:r>
              <w:rPr>
                <w:rStyle w:val="114"/>
                <w:rFonts w:eastAsia="宋体"/>
                <w:color w:val="auto"/>
                <w:lang w:bidi="ar"/>
              </w:rPr>
              <w:t xml:space="preserve"> 100</w:t>
            </w:r>
            <w:r>
              <w:rPr>
                <w:rStyle w:val="111"/>
                <w:color w:val="auto"/>
                <w:lang w:bidi="ar"/>
              </w:rPr>
              <w:t>亩。</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30000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30000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eastAsia="宋体"/>
                <w:sz w:val="21"/>
                <w:szCs w:val="21"/>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2034</w:t>
            </w:r>
          </w:p>
        </w:tc>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eastAsia="宋体"/>
                <w:sz w:val="21"/>
                <w:szCs w:val="21"/>
              </w:rPr>
            </w:pPr>
            <w:r>
              <w:rPr>
                <w:rFonts w:eastAsia="宋体"/>
                <w:kern w:val="0"/>
                <w:sz w:val="21"/>
                <w:szCs w:val="21"/>
                <w:lang w:bidi="ar"/>
              </w:rPr>
              <w:t>2036</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textAlignment w:val="center"/>
              <w:rPr>
                <w:rFonts w:ascii="华文中宋" w:hAnsi="华文中宋" w:eastAsia="华文中宋" w:cs="华文中宋"/>
                <w:sz w:val="21"/>
                <w:szCs w:val="21"/>
              </w:rPr>
            </w:pPr>
            <w:r>
              <w:rPr>
                <w:rFonts w:ascii="华文中宋" w:hAnsi="华文中宋" w:eastAsia="华文中宋" w:cs="华文中宋"/>
                <w:kern w:val="0"/>
                <w:sz w:val="21"/>
                <w:szCs w:val="21"/>
                <w:lang w:bidi="ar"/>
              </w:rPr>
              <w:t>区交通局</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textAlignment w:val="center"/>
              <w:rPr>
                <w:rFonts w:eastAsia="宋体"/>
                <w:sz w:val="21"/>
                <w:szCs w:val="21"/>
              </w:rPr>
            </w:pPr>
            <w:r>
              <w:rPr>
                <w:rFonts w:hint="eastAsia" w:eastAsia="宋体"/>
                <w:sz w:val="21"/>
                <w:szCs w:val="21"/>
              </w:rPr>
              <w:t>市储备库</w:t>
            </w:r>
          </w:p>
        </w:tc>
      </w:tr>
    </w:tbl>
    <w:p>
      <w:pPr>
        <w:pStyle w:val="16"/>
        <w:jc w:val="left"/>
        <w:rPr>
          <w:rFonts w:ascii="宋体" w:hAnsi="宋体"/>
          <w:sz w:val="24"/>
          <w:szCs w:val="24"/>
        </w:rPr>
      </w:pPr>
    </w:p>
    <w:p>
      <w:pPr>
        <w:pStyle w:val="16"/>
        <w:jc w:val="left"/>
        <w:rPr>
          <w:rFonts w:ascii="宋体" w:hAnsi="宋体"/>
          <w:sz w:val="24"/>
          <w:szCs w:val="24"/>
        </w:rPr>
      </w:pPr>
    </w:p>
    <w:p>
      <w:pPr>
        <w:pStyle w:val="16"/>
        <w:jc w:val="left"/>
        <w:rPr>
          <w:rFonts w:ascii="宋体" w:hAnsi="宋体"/>
          <w:sz w:val="24"/>
          <w:szCs w:val="24"/>
        </w:rPr>
      </w:pPr>
    </w:p>
    <w:p>
      <w:pPr>
        <w:pStyle w:val="16"/>
        <w:jc w:val="left"/>
        <w:rPr>
          <w:rFonts w:ascii="宋体" w:hAnsi="宋体"/>
          <w:sz w:val="24"/>
          <w:szCs w:val="24"/>
        </w:rPr>
      </w:pPr>
      <w:r>
        <w:rPr>
          <w:rFonts w:hint="eastAsia" w:ascii="宋体" w:hAnsi="宋体"/>
          <w:sz w:val="24"/>
          <w:szCs w:val="24"/>
        </w:rPr>
        <w:t>附图：叶集区“十五五”交通规划图</w:t>
      </w:r>
    </w:p>
    <w:p>
      <w:pPr>
        <w:pStyle w:val="16"/>
        <w:jc w:val="center"/>
        <w:rPr>
          <w:rFonts w:ascii="宋体" w:hAnsi="宋体"/>
          <w:sz w:val="28"/>
        </w:rPr>
      </w:pPr>
      <w:r>
        <w:rPr>
          <w:rFonts w:hint="eastAsia" w:ascii="宋体" w:hAnsi="宋体"/>
          <w:sz w:val="28"/>
        </w:rPr>
        <w:drawing>
          <wp:inline distT="0" distB="0" distL="114300" distR="114300">
            <wp:extent cx="11553825" cy="8085455"/>
            <wp:effectExtent l="0" t="0" r="3175" b="4445"/>
            <wp:docPr id="1" name="图片 1" descr="0 4511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 4511布局图"/>
                    <pic:cNvPicPr>
                      <a:picLocks noChangeAspect="1"/>
                    </pic:cNvPicPr>
                  </pic:nvPicPr>
                  <pic:blipFill>
                    <a:blip r:embed="rId16"/>
                    <a:stretch>
                      <a:fillRect/>
                    </a:stretch>
                  </pic:blipFill>
                  <pic:spPr>
                    <a:xfrm>
                      <a:off x="0" y="0"/>
                      <a:ext cx="11553825" cy="8085455"/>
                    </a:xfrm>
                    <a:prstGeom prst="rect">
                      <a:avLst/>
                    </a:prstGeom>
                  </pic:spPr>
                </pic:pic>
              </a:graphicData>
            </a:graphic>
          </wp:inline>
        </w:drawing>
      </w:r>
    </w:p>
    <w:p>
      <w:pPr>
        <w:pStyle w:val="16"/>
        <w:jc w:val="center"/>
        <w:rPr>
          <w:rFonts w:ascii="宋体" w:hAnsi="宋体"/>
          <w:sz w:val="28"/>
        </w:rPr>
      </w:pPr>
      <w:r>
        <w:rPr>
          <w:rFonts w:hint="eastAsia" w:ascii="宋体" w:hAnsi="宋体"/>
          <w:sz w:val="28"/>
        </w:rPr>
        <w:drawing>
          <wp:inline distT="0" distB="0" distL="114300" distR="114300">
            <wp:extent cx="12439015" cy="8704580"/>
            <wp:effectExtent l="0" t="0" r="6985" b="7620"/>
            <wp:docPr id="5" name="图片 5" descr="1 高速公路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高速公路规划图"/>
                    <pic:cNvPicPr>
                      <a:picLocks noChangeAspect="1"/>
                    </pic:cNvPicPr>
                  </pic:nvPicPr>
                  <pic:blipFill>
                    <a:blip r:embed="rId17"/>
                    <a:stretch>
                      <a:fillRect/>
                    </a:stretch>
                  </pic:blipFill>
                  <pic:spPr>
                    <a:xfrm>
                      <a:off x="0" y="0"/>
                      <a:ext cx="12439015" cy="8704580"/>
                    </a:xfrm>
                    <a:prstGeom prst="rect">
                      <a:avLst/>
                    </a:prstGeom>
                  </pic:spPr>
                </pic:pic>
              </a:graphicData>
            </a:graphic>
          </wp:inline>
        </w:drawing>
      </w:r>
    </w:p>
    <w:p>
      <w:pPr>
        <w:pStyle w:val="16"/>
        <w:jc w:val="center"/>
        <w:rPr>
          <w:rFonts w:ascii="宋体" w:hAnsi="宋体"/>
          <w:sz w:val="28"/>
        </w:rPr>
      </w:pPr>
      <w:r>
        <w:rPr>
          <w:rFonts w:hint="eastAsia" w:ascii="宋体" w:hAnsi="宋体"/>
          <w:sz w:val="28"/>
        </w:rPr>
        <w:drawing>
          <wp:inline distT="0" distB="0" distL="114300" distR="114300">
            <wp:extent cx="12439015" cy="8704580"/>
            <wp:effectExtent l="0" t="0" r="6985" b="7620"/>
            <wp:docPr id="8" name="图片 8" descr="2 国道项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 国道项目"/>
                    <pic:cNvPicPr>
                      <a:picLocks noChangeAspect="1"/>
                    </pic:cNvPicPr>
                  </pic:nvPicPr>
                  <pic:blipFill>
                    <a:blip r:embed="rId18"/>
                    <a:stretch>
                      <a:fillRect/>
                    </a:stretch>
                  </pic:blipFill>
                  <pic:spPr>
                    <a:xfrm>
                      <a:off x="0" y="0"/>
                      <a:ext cx="12439015" cy="8704580"/>
                    </a:xfrm>
                    <a:prstGeom prst="rect">
                      <a:avLst/>
                    </a:prstGeom>
                  </pic:spPr>
                </pic:pic>
              </a:graphicData>
            </a:graphic>
          </wp:inline>
        </w:drawing>
      </w:r>
    </w:p>
    <w:p>
      <w:pPr>
        <w:pStyle w:val="16"/>
        <w:jc w:val="center"/>
        <w:rPr>
          <w:rFonts w:ascii="宋体" w:hAnsi="宋体"/>
          <w:sz w:val="28"/>
        </w:rPr>
      </w:pPr>
      <w:r>
        <w:rPr>
          <w:rFonts w:hint="eastAsia" w:ascii="宋体" w:hAnsi="宋体"/>
          <w:sz w:val="28"/>
        </w:rPr>
        <w:drawing>
          <wp:inline distT="0" distB="0" distL="114300" distR="114300">
            <wp:extent cx="12439015" cy="8704580"/>
            <wp:effectExtent l="0" t="0" r="6985" b="7620"/>
            <wp:docPr id="9" name="图片 9" descr="3 省道项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省道项目"/>
                    <pic:cNvPicPr>
                      <a:picLocks noChangeAspect="1"/>
                    </pic:cNvPicPr>
                  </pic:nvPicPr>
                  <pic:blipFill>
                    <a:blip r:embed="rId19"/>
                    <a:stretch>
                      <a:fillRect/>
                    </a:stretch>
                  </pic:blipFill>
                  <pic:spPr>
                    <a:xfrm>
                      <a:off x="0" y="0"/>
                      <a:ext cx="12439015" cy="8704580"/>
                    </a:xfrm>
                    <a:prstGeom prst="rect">
                      <a:avLst/>
                    </a:prstGeom>
                  </pic:spPr>
                </pic:pic>
              </a:graphicData>
            </a:graphic>
          </wp:inline>
        </w:drawing>
      </w:r>
    </w:p>
    <w:p>
      <w:pPr>
        <w:pStyle w:val="16"/>
        <w:jc w:val="center"/>
        <w:rPr>
          <w:rFonts w:ascii="宋体" w:hAnsi="宋体"/>
          <w:sz w:val="28"/>
        </w:rPr>
      </w:pPr>
      <w:r>
        <w:rPr>
          <w:rFonts w:hint="eastAsia" w:ascii="宋体" w:hAnsi="宋体"/>
          <w:sz w:val="28"/>
        </w:rPr>
        <w:drawing>
          <wp:inline distT="0" distB="0" distL="114300" distR="114300">
            <wp:extent cx="12439015" cy="8704580"/>
            <wp:effectExtent l="0" t="0" r="6985" b="7620"/>
            <wp:docPr id="2" name="图片 2" descr="4 航空水运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航空水运规划图"/>
                    <pic:cNvPicPr>
                      <a:picLocks noChangeAspect="1"/>
                    </pic:cNvPicPr>
                  </pic:nvPicPr>
                  <pic:blipFill>
                    <a:blip r:embed="rId20"/>
                    <a:stretch>
                      <a:fillRect/>
                    </a:stretch>
                  </pic:blipFill>
                  <pic:spPr>
                    <a:xfrm>
                      <a:off x="0" y="0"/>
                      <a:ext cx="12439015" cy="8704580"/>
                    </a:xfrm>
                    <a:prstGeom prst="rect">
                      <a:avLst/>
                    </a:prstGeom>
                  </pic:spPr>
                </pic:pic>
              </a:graphicData>
            </a:graphic>
          </wp:inline>
        </w:drawing>
      </w:r>
    </w:p>
    <w:p>
      <w:pPr>
        <w:pStyle w:val="16"/>
        <w:jc w:val="center"/>
        <w:rPr>
          <w:rFonts w:ascii="宋体" w:hAnsi="宋体"/>
          <w:sz w:val="28"/>
        </w:rPr>
      </w:pPr>
      <w:r>
        <w:rPr>
          <w:rFonts w:hint="eastAsia" w:ascii="宋体" w:hAnsi="宋体"/>
          <w:sz w:val="28"/>
        </w:rPr>
        <w:drawing>
          <wp:inline distT="0" distB="0" distL="114300" distR="114300">
            <wp:extent cx="12439015" cy="8704580"/>
            <wp:effectExtent l="0" t="0" r="6985" b="7620"/>
            <wp:docPr id="6" name="图片 6" descr="5 公路服务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 公路服务区"/>
                    <pic:cNvPicPr>
                      <a:picLocks noChangeAspect="1"/>
                    </pic:cNvPicPr>
                  </pic:nvPicPr>
                  <pic:blipFill>
                    <a:blip r:embed="rId21"/>
                    <a:stretch>
                      <a:fillRect/>
                    </a:stretch>
                  </pic:blipFill>
                  <pic:spPr>
                    <a:xfrm>
                      <a:off x="0" y="0"/>
                      <a:ext cx="12439015" cy="8704580"/>
                    </a:xfrm>
                    <a:prstGeom prst="rect">
                      <a:avLst/>
                    </a:prstGeom>
                  </pic:spPr>
                </pic:pic>
              </a:graphicData>
            </a:graphic>
          </wp:inline>
        </w:drawing>
      </w:r>
    </w:p>
    <w:sectPr>
      <w:pgSz w:w="23811" w:h="16838" w:orient="landscape"/>
      <w:pgMar w:top="1701" w:right="1574" w:bottom="1418" w:left="1701" w:header="851" w:footer="921"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幼圆">
    <w:altName w:val="宋体"/>
    <w:panose1 w:val="02010509060101010101"/>
    <w:charset w:val="86"/>
    <w:family w:val="modern"/>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560"/>
      <w:jc w:val="right"/>
    </w:pPr>
  </w:p>
  <w:p>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6"/>
      </w:rPr>
    </w:pPr>
    <w:r>
      <w:fldChar w:fldCharType="begin"/>
    </w:r>
    <w:r>
      <w:rPr>
        <w:rStyle w:val="36"/>
      </w:rPr>
      <w:instrText xml:space="preserve">PAGE  </w:instrText>
    </w:r>
    <w:r>
      <w:fldChar w:fldCharType="end"/>
    </w:r>
  </w:p>
  <w:p>
    <w:pPr>
      <w:pStyle w:val="2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560"/>
      <w:jc w:val="right"/>
    </w:pPr>
    <w:r>
      <w:fldChar w:fldCharType="begin"/>
    </w:r>
    <w:r>
      <w:instrText xml:space="preserve"> PAGE   \* MERGEFORMAT </w:instrText>
    </w:r>
    <w:r>
      <w:fldChar w:fldCharType="separate"/>
    </w:r>
    <w:r>
      <w:t>II</w:t>
    </w:r>
    <w:r>
      <w:fldChar w:fldCharType="end"/>
    </w:r>
  </w:p>
  <w:p>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560"/>
      <w:jc w:val="center"/>
    </w:pPr>
    <w:r>
      <w:fldChar w:fldCharType="begin"/>
    </w:r>
    <w:r>
      <w:instrText xml:space="preserve"> PAGE   \* MERGEFORMAT </w:instrText>
    </w:r>
    <w:r>
      <w:fldChar w:fldCharType="separate"/>
    </w:r>
    <w:r>
      <w:t>50</w:t>
    </w:r>
    <w:r>
      <w:fldChar w:fldCharType="end"/>
    </w:r>
  </w:p>
  <w:p>
    <w:pPr>
      <w:pStyle w:val="2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jc w:val="right"/>
    </w:pPr>
  </w:p>
  <w:p>
    <w:pPr>
      <w:pStyle w:val="24"/>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jc w:val="right"/>
    </w:pPr>
    <w:r>
      <w:rPr>
        <w:rFonts w:hint="eastAsia"/>
      </w:rPr>
      <w:t>叶集区交通运输“十五五”发展规划</w:t>
    </w:r>
  </w:p>
  <w:p>
    <w:pPr>
      <w:pStyle w:val="24"/>
      <w:pBdr>
        <w:bottom w:val="none" w:color="auto" w:sz="0" w:space="0"/>
      </w:pBdr>
      <w:jc w:val="right"/>
    </w:pPr>
    <w:r>
      <w:pict>
        <v:rect id="_x0000_i1025" o:spt="1" style="height:1.5pt;width:0pt;" fillcolor="#A0A0A0" filled="t" stroked="f" coordsize="21600,21600" o:hr="t" o:hrstd="t" o:hralign="center">
          <v:path/>
          <v:fill on="t" focussize="0,0"/>
          <v:stroke on="f"/>
          <v:imagedata o:title=""/>
          <o:lock v:ext="edit"/>
          <w10:wrap type="none"/>
          <w10:anchorlock/>
        </v:rect>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jc w:val="right"/>
    </w:pPr>
    <w:r>
      <w:rPr>
        <w:rFonts w:hint="eastAsia"/>
      </w:rPr>
      <w:t>叶集区交通运输“十五五”发展规划</w:t>
    </w:r>
  </w:p>
  <w:p>
    <w:pPr>
      <w:pStyle w:val="24"/>
      <w:pBdr>
        <w:bottom w:val="none" w:color="auto" w:sz="0" w:space="0"/>
      </w:pBdr>
      <w:jc w:val="right"/>
    </w:pPr>
    <w:r>
      <w:pict>
        <v:rect id="_x0000_i1026" o:spt="1" style="height:1.5pt;width:0pt;" fillcolor="#A0A0A0" filled="t" stroked="f" coordsize="21600,21600" o:hr="t" o:hrstd="t" o:hralign="center">
          <v:path/>
          <v:fill on="t" focussize="0,0"/>
          <v:stroke on="f"/>
          <v:imagedata o:title=""/>
          <o:lock v:ext="edit"/>
          <w10:wrap type="none"/>
          <w10:anchorlock/>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7"/>
    <w:multiLevelType w:val="multilevel"/>
    <w:tmpl w:val="00000017"/>
    <w:lvl w:ilvl="0" w:tentative="0">
      <w:start w:val="1"/>
      <w:numFmt w:val="chineseCountingThousand"/>
      <w:suff w:val="space"/>
      <w:lvlText w:val="（%1）"/>
      <w:lvlJc w:val="left"/>
      <w:pPr>
        <w:ind w:left="420" w:hanging="420"/>
      </w:pPr>
      <w:rPr>
        <w:rFonts w:hint="eastAsia" w:ascii="楷体" w:hAnsi="楷体"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65D353B"/>
    <w:multiLevelType w:val="multilevel"/>
    <w:tmpl w:val="165D353B"/>
    <w:lvl w:ilvl="0" w:tentative="0">
      <w:start w:val="1"/>
      <w:numFmt w:val="decimal"/>
      <w:lvlText w:val="第%1章"/>
      <w:lvlJc w:val="left"/>
      <w:pPr>
        <w:ind w:left="420" w:hanging="420"/>
      </w:pPr>
      <w:rPr>
        <w:rFonts w:hint="default" w:ascii="Times New Roman" w:hAnsi="Times New Roman" w:eastAsia="黑体"/>
      </w:rPr>
    </w:lvl>
    <w:lvl w:ilvl="1" w:tentative="0">
      <w:start w:val="1"/>
      <w:numFmt w:val="decimal"/>
      <w:lvlText w:val="%1.%2"/>
      <w:lvlJc w:val="left"/>
      <w:pPr>
        <w:ind w:left="0" w:firstLine="0"/>
      </w:pPr>
      <w:rPr>
        <w:rFonts w:hint="eastAsia"/>
        <w:sz w:val="32"/>
        <w:szCs w:val="32"/>
      </w:rPr>
    </w:lvl>
    <w:lvl w:ilvl="2" w:tentative="0">
      <w:start w:val="1"/>
      <w:numFmt w:val="decimal"/>
      <w:pStyle w:val="107"/>
      <w:suff w:val="space"/>
      <w:lvlText w:val="%1.%2.%3"/>
      <w:lvlJc w:val="left"/>
      <w:pPr>
        <w:ind w:left="0" w:firstLine="0"/>
      </w:pPr>
      <w:rPr>
        <w:rFonts w:hint="default" w:ascii="Times New Roman" w:hAnsi="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suff w:val="space"/>
      <w:lvlText w:val="%1%4"/>
      <w:lvlJc w:val="center"/>
      <w:pPr>
        <w:ind w:left="0" w:firstLine="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14:shadow w14:blurRad="0" w14:dist="0" w14:dir="0" w14:sx="0" w14:sy="0" w14:kx="0" w14:ky="0" w14:algn="none">
          <w14:srgbClr w14:val="000000"/>
        </w14:shadow>
      </w:rPr>
    </w:lvl>
    <w:lvl w:ilvl="4" w:tentative="0">
      <w:start w:val="1"/>
      <w:numFmt w:val="decimal"/>
      <w:lvlRestart w:val="1"/>
      <w:suff w:val="space"/>
      <w:lvlText w:val="表%1-%5"/>
      <w:lvlJc w:val="center"/>
      <w:pPr>
        <w:ind w:left="0" w:firstLine="0"/>
      </w:pPr>
      <w:rPr>
        <w:rFonts w:hint="default" w:ascii="Times New Roman" w:hAnsi="Times New Roman" w:eastAsia="黑体"/>
        <w:sz w:val="21"/>
      </w:rPr>
    </w:lvl>
    <w:lvl w:ilvl="5" w:tentative="0">
      <w:start w:val="1"/>
      <w:numFmt w:val="decimal"/>
      <w:lvlRestart w:val="1"/>
      <w:suff w:val="space"/>
      <w:lvlText w:val="图%1-%6"/>
      <w:lvlJc w:val="center"/>
      <w:pPr>
        <w:ind w:left="0" w:firstLine="0"/>
      </w:pPr>
      <w:rPr>
        <w:rFonts w:hint="default" w:ascii="Times New Roman" w:hAnsi="Times New Roman" w:eastAsia="黑体"/>
        <w:b w:val="0"/>
        <w:sz w:val="21"/>
        <w:szCs w:val="21"/>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3D8020D8"/>
    <w:multiLevelType w:val="multilevel"/>
    <w:tmpl w:val="3D8020D8"/>
    <w:lvl w:ilvl="0" w:tentative="0">
      <w:start w:val="1"/>
      <w:numFmt w:val="decimal"/>
      <w:pStyle w:val="2"/>
      <w:lvlText w:val="第%1章"/>
      <w:lvlJc w:val="left"/>
      <w:pPr>
        <w:tabs>
          <w:tab w:val="left" w:pos="0"/>
        </w:tabs>
        <w:ind w:left="0" w:firstLine="0"/>
      </w:pPr>
      <w:rPr>
        <w:rFonts w:hint="eastAsia"/>
        <w:spacing w:val="0"/>
        <w:szCs w:val="32"/>
      </w:rPr>
    </w:lvl>
    <w:lvl w:ilvl="1" w:tentative="0">
      <w:start w:val="1"/>
      <w:numFmt w:val="decimal"/>
      <w:pStyle w:val="3"/>
      <w:lvlText w:val="%1.%2"/>
      <w:lvlJc w:val="left"/>
      <w:pPr>
        <w:tabs>
          <w:tab w:val="left" w:pos="0"/>
        </w:tabs>
        <w:ind w:left="0" w:firstLine="0"/>
      </w:pPr>
      <w:rPr>
        <w:rFonts w:hint="default" w:ascii="Times New Roman" w:hAnsi="Times New Roman" w:cs="Times New Roman"/>
      </w:rPr>
    </w:lvl>
    <w:lvl w:ilvl="2" w:tentative="0">
      <w:start w:val="1"/>
      <w:numFmt w:val="decimal"/>
      <w:pStyle w:val="4"/>
      <w:lvlText w:val="%1.%2.%3"/>
      <w:lvlJc w:val="left"/>
      <w:pPr>
        <w:tabs>
          <w:tab w:val="left" w:pos="0"/>
        </w:tabs>
        <w:ind w:left="0" w:firstLine="0"/>
      </w:pPr>
      <w:rPr>
        <w:rFonts w:hint="eastAsia"/>
        <w:color w:val="auto"/>
      </w:rPr>
    </w:lvl>
    <w:lvl w:ilvl="3" w:tentative="0">
      <w:start w:val="1"/>
      <w:numFmt w:val="decimal"/>
      <w:pStyle w:val="5"/>
      <w:lvlText w:val="%1.%2.%3.%4"/>
      <w:lvlJc w:val="left"/>
      <w:pPr>
        <w:tabs>
          <w:tab w:val="left" w:pos="0"/>
        </w:tabs>
        <w:ind w:left="0" w:firstLine="0"/>
      </w:pPr>
      <w:rPr>
        <w:rFonts w:hint="eastAsia"/>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numFmt w:val="decimalEnclosedCircleChinese"/>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YjAyOGRmZWY5ZGU4ZjI2ZTE5MzlmMDg0ZDJlOGIifQ=="/>
  </w:docVars>
  <w:rsids>
    <w:rsidRoot w:val="00172A27"/>
    <w:rsid w:val="0000036F"/>
    <w:rsid w:val="00001456"/>
    <w:rsid w:val="00001668"/>
    <w:rsid w:val="00001709"/>
    <w:rsid w:val="000021B8"/>
    <w:rsid w:val="00002364"/>
    <w:rsid w:val="000029D8"/>
    <w:rsid w:val="00002D51"/>
    <w:rsid w:val="00003652"/>
    <w:rsid w:val="00003C0F"/>
    <w:rsid w:val="00004031"/>
    <w:rsid w:val="00004932"/>
    <w:rsid w:val="00004B0B"/>
    <w:rsid w:val="00004E14"/>
    <w:rsid w:val="00005066"/>
    <w:rsid w:val="00005F47"/>
    <w:rsid w:val="0000639C"/>
    <w:rsid w:val="000067B1"/>
    <w:rsid w:val="000069A5"/>
    <w:rsid w:val="000070C9"/>
    <w:rsid w:val="00007610"/>
    <w:rsid w:val="0000764F"/>
    <w:rsid w:val="00007C5C"/>
    <w:rsid w:val="00007D99"/>
    <w:rsid w:val="00010532"/>
    <w:rsid w:val="000106EB"/>
    <w:rsid w:val="00010753"/>
    <w:rsid w:val="00010BBA"/>
    <w:rsid w:val="00010C60"/>
    <w:rsid w:val="00010F01"/>
    <w:rsid w:val="0001129F"/>
    <w:rsid w:val="00011489"/>
    <w:rsid w:val="000115FC"/>
    <w:rsid w:val="0001179E"/>
    <w:rsid w:val="00011B52"/>
    <w:rsid w:val="00012AC8"/>
    <w:rsid w:val="00013147"/>
    <w:rsid w:val="0001317E"/>
    <w:rsid w:val="000134EA"/>
    <w:rsid w:val="000139BD"/>
    <w:rsid w:val="0001436B"/>
    <w:rsid w:val="00014EF2"/>
    <w:rsid w:val="00014EF4"/>
    <w:rsid w:val="00015E7C"/>
    <w:rsid w:val="0001613C"/>
    <w:rsid w:val="00016158"/>
    <w:rsid w:val="0001639D"/>
    <w:rsid w:val="000163A6"/>
    <w:rsid w:val="00016400"/>
    <w:rsid w:val="00016D9C"/>
    <w:rsid w:val="000170B0"/>
    <w:rsid w:val="000172B5"/>
    <w:rsid w:val="000174B2"/>
    <w:rsid w:val="00017CD9"/>
    <w:rsid w:val="00017EEA"/>
    <w:rsid w:val="00017F5B"/>
    <w:rsid w:val="0002074D"/>
    <w:rsid w:val="000208AE"/>
    <w:rsid w:val="00020A88"/>
    <w:rsid w:val="00020BFC"/>
    <w:rsid w:val="00020C59"/>
    <w:rsid w:val="00020DDC"/>
    <w:rsid w:val="00020E05"/>
    <w:rsid w:val="00021647"/>
    <w:rsid w:val="00021EF8"/>
    <w:rsid w:val="00022081"/>
    <w:rsid w:val="00022327"/>
    <w:rsid w:val="00022533"/>
    <w:rsid w:val="000226FD"/>
    <w:rsid w:val="000227C1"/>
    <w:rsid w:val="00022A68"/>
    <w:rsid w:val="00022B13"/>
    <w:rsid w:val="00023078"/>
    <w:rsid w:val="0002353E"/>
    <w:rsid w:val="00023ACF"/>
    <w:rsid w:val="00023AFE"/>
    <w:rsid w:val="00023B47"/>
    <w:rsid w:val="000241E1"/>
    <w:rsid w:val="00024694"/>
    <w:rsid w:val="00024CF4"/>
    <w:rsid w:val="00024D99"/>
    <w:rsid w:val="000250E5"/>
    <w:rsid w:val="000253CB"/>
    <w:rsid w:val="00025725"/>
    <w:rsid w:val="00025A5B"/>
    <w:rsid w:val="000261D5"/>
    <w:rsid w:val="0002678C"/>
    <w:rsid w:val="0002684F"/>
    <w:rsid w:val="00026BAF"/>
    <w:rsid w:val="00026F21"/>
    <w:rsid w:val="00027931"/>
    <w:rsid w:val="000279E6"/>
    <w:rsid w:val="00030528"/>
    <w:rsid w:val="0003055A"/>
    <w:rsid w:val="000308B6"/>
    <w:rsid w:val="00030A3F"/>
    <w:rsid w:val="00030B8E"/>
    <w:rsid w:val="00030CE0"/>
    <w:rsid w:val="0003107D"/>
    <w:rsid w:val="0003186D"/>
    <w:rsid w:val="00031898"/>
    <w:rsid w:val="00031972"/>
    <w:rsid w:val="00031FB2"/>
    <w:rsid w:val="00032037"/>
    <w:rsid w:val="000329D0"/>
    <w:rsid w:val="00032C50"/>
    <w:rsid w:val="0003377E"/>
    <w:rsid w:val="00033BB7"/>
    <w:rsid w:val="00033CCE"/>
    <w:rsid w:val="000340A3"/>
    <w:rsid w:val="00034552"/>
    <w:rsid w:val="000347E1"/>
    <w:rsid w:val="00034983"/>
    <w:rsid w:val="000350FC"/>
    <w:rsid w:val="000357C9"/>
    <w:rsid w:val="0003651E"/>
    <w:rsid w:val="00036B1E"/>
    <w:rsid w:val="00036DE3"/>
    <w:rsid w:val="00036E95"/>
    <w:rsid w:val="0003789A"/>
    <w:rsid w:val="00037952"/>
    <w:rsid w:val="00040180"/>
    <w:rsid w:val="0004031F"/>
    <w:rsid w:val="00040666"/>
    <w:rsid w:val="00040AF7"/>
    <w:rsid w:val="000412EE"/>
    <w:rsid w:val="0004160D"/>
    <w:rsid w:val="00041DEA"/>
    <w:rsid w:val="000432EB"/>
    <w:rsid w:val="000434D1"/>
    <w:rsid w:val="00043773"/>
    <w:rsid w:val="00043DFF"/>
    <w:rsid w:val="00043E6B"/>
    <w:rsid w:val="00044135"/>
    <w:rsid w:val="0004414E"/>
    <w:rsid w:val="0004419B"/>
    <w:rsid w:val="00044515"/>
    <w:rsid w:val="00044A41"/>
    <w:rsid w:val="000456D8"/>
    <w:rsid w:val="00045BE4"/>
    <w:rsid w:val="0004626F"/>
    <w:rsid w:val="00046A1D"/>
    <w:rsid w:val="00047048"/>
    <w:rsid w:val="000472F5"/>
    <w:rsid w:val="00047770"/>
    <w:rsid w:val="000478BE"/>
    <w:rsid w:val="00047A1C"/>
    <w:rsid w:val="00047E04"/>
    <w:rsid w:val="00050319"/>
    <w:rsid w:val="000504E2"/>
    <w:rsid w:val="00050B3C"/>
    <w:rsid w:val="0005121F"/>
    <w:rsid w:val="00051A96"/>
    <w:rsid w:val="00051C48"/>
    <w:rsid w:val="00051C8B"/>
    <w:rsid w:val="00051DE1"/>
    <w:rsid w:val="000520FC"/>
    <w:rsid w:val="00052DC8"/>
    <w:rsid w:val="000531A7"/>
    <w:rsid w:val="00053800"/>
    <w:rsid w:val="0005394E"/>
    <w:rsid w:val="00053E46"/>
    <w:rsid w:val="000543D2"/>
    <w:rsid w:val="0005474B"/>
    <w:rsid w:val="000547C2"/>
    <w:rsid w:val="000548A9"/>
    <w:rsid w:val="00054E09"/>
    <w:rsid w:val="00054F39"/>
    <w:rsid w:val="0005524F"/>
    <w:rsid w:val="000555C1"/>
    <w:rsid w:val="00055804"/>
    <w:rsid w:val="00056163"/>
    <w:rsid w:val="00056B3C"/>
    <w:rsid w:val="00056EB3"/>
    <w:rsid w:val="00056EBE"/>
    <w:rsid w:val="000572B2"/>
    <w:rsid w:val="00057479"/>
    <w:rsid w:val="00057798"/>
    <w:rsid w:val="00057EFA"/>
    <w:rsid w:val="000603F5"/>
    <w:rsid w:val="00060546"/>
    <w:rsid w:val="00060582"/>
    <w:rsid w:val="000605C7"/>
    <w:rsid w:val="00060A05"/>
    <w:rsid w:val="00060DCB"/>
    <w:rsid w:val="00061B51"/>
    <w:rsid w:val="000620BC"/>
    <w:rsid w:val="0006210F"/>
    <w:rsid w:val="000627C3"/>
    <w:rsid w:val="00062E98"/>
    <w:rsid w:val="0006338D"/>
    <w:rsid w:val="00063712"/>
    <w:rsid w:val="000637A4"/>
    <w:rsid w:val="00063C8C"/>
    <w:rsid w:val="0006444F"/>
    <w:rsid w:val="000646A4"/>
    <w:rsid w:val="00064945"/>
    <w:rsid w:val="00065223"/>
    <w:rsid w:val="00065B24"/>
    <w:rsid w:val="00065D6B"/>
    <w:rsid w:val="00066593"/>
    <w:rsid w:val="00066888"/>
    <w:rsid w:val="000676C0"/>
    <w:rsid w:val="00067DF8"/>
    <w:rsid w:val="00070479"/>
    <w:rsid w:val="00070482"/>
    <w:rsid w:val="000707F6"/>
    <w:rsid w:val="00070F9A"/>
    <w:rsid w:val="000716B9"/>
    <w:rsid w:val="00071B64"/>
    <w:rsid w:val="00072053"/>
    <w:rsid w:val="000723F3"/>
    <w:rsid w:val="0007253E"/>
    <w:rsid w:val="00072DC9"/>
    <w:rsid w:val="000738FE"/>
    <w:rsid w:val="00073CA6"/>
    <w:rsid w:val="00073E50"/>
    <w:rsid w:val="000747DD"/>
    <w:rsid w:val="00074FFD"/>
    <w:rsid w:val="000750D8"/>
    <w:rsid w:val="000760E5"/>
    <w:rsid w:val="000760FE"/>
    <w:rsid w:val="00076C9A"/>
    <w:rsid w:val="00076FCD"/>
    <w:rsid w:val="00077940"/>
    <w:rsid w:val="00077C6E"/>
    <w:rsid w:val="00080102"/>
    <w:rsid w:val="00080C88"/>
    <w:rsid w:val="00080FD5"/>
    <w:rsid w:val="000813F2"/>
    <w:rsid w:val="000818FF"/>
    <w:rsid w:val="00081BD9"/>
    <w:rsid w:val="00081D3E"/>
    <w:rsid w:val="00081E41"/>
    <w:rsid w:val="00082164"/>
    <w:rsid w:val="0008218A"/>
    <w:rsid w:val="0008267C"/>
    <w:rsid w:val="00082ADB"/>
    <w:rsid w:val="00082EC8"/>
    <w:rsid w:val="000830F5"/>
    <w:rsid w:val="00083249"/>
    <w:rsid w:val="00083653"/>
    <w:rsid w:val="00083857"/>
    <w:rsid w:val="00083DF7"/>
    <w:rsid w:val="00083FB3"/>
    <w:rsid w:val="0008405A"/>
    <w:rsid w:val="0008445C"/>
    <w:rsid w:val="00084BCD"/>
    <w:rsid w:val="00084EE7"/>
    <w:rsid w:val="00084FFD"/>
    <w:rsid w:val="0008533D"/>
    <w:rsid w:val="00085359"/>
    <w:rsid w:val="000854A8"/>
    <w:rsid w:val="00086371"/>
    <w:rsid w:val="00086463"/>
    <w:rsid w:val="00086557"/>
    <w:rsid w:val="0008660B"/>
    <w:rsid w:val="00086643"/>
    <w:rsid w:val="00086674"/>
    <w:rsid w:val="0008683D"/>
    <w:rsid w:val="00086F87"/>
    <w:rsid w:val="000872FD"/>
    <w:rsid w:val="00087361"/>
    <w:rsid w:val="000874B5"/>
    <w:rsid w:val="00087560"/>
    <w:rsid w:val="00087A31"/>
    <w:rsid w:val="000910B9"/>
    <w:rsid w:val="0009119C"/>
    <w:rsid w:val="00091444"/>
    <w:rsid w:val="00091F9F"/>
    <w:rsid w:val="00092109"/>
    <w:rsid w:val="00092175"/>
    <w:rsid w:val="0009218B"/>
    <w:rsid w:val="000921DC"/>
    <w:rsid w:val="0009275A"/>
    <w:rsid w:val="00092778"/>
    <w:rsid w:val="000929E8"/>
    <w:rsid w:val="00092B8F"/>
    <w:rsid w:val="000930AA"/>
    <w:rsid w:val="000931EB"/>
    <w:rsid w:val="000934B9"/>
    <w:rsid w:val="000936E0"/>
    <w:rsid w:val="0009373B"/>
    <w:rsid w:val="00094669"/>
    <w:rsid w:val="00094751"/>
    <w:rsid w:val="000948EA"/>
    <w:rsid w:val="00094ED8"/>
    <w:rsid w:val="000951C5"/>
    <w:rsid w:val="00095286"/>
    <w:rsid w:val="000954EC"/>
    <w:rsid w:val="000955A6"/>
    <w:rsid w:val="00095B65"/>
    <w:rsid w:val="000962C6"/>
    <w:rsid w:val="000972B6"/>
    <w:rsid w:val="00097575"/>
    <w:rsid w:val="000978D3"/>
    <w:rsid w:val="00097D0E"/>
    <w:rsid w:val="000A0326"/>
    <w:rsid w:val="000A0422"/>
    <w:rsid w:val="000A08D6"/>
    <w:rsid w:val="000A0F56"/>
    <w:rsid w:val="000A10FC"/>
    <w:rsid w:val="000A11E8"/>
    <w:rsid w:val="000A1204"/>
    <w:rsid w:val="000A1CC5"/>
    <w:rsid w:val="000A1DAE"/>
    <w:rsid w:val="000A2261"/>
    <w:rsid w:val="000A23B3"/>
    <w:rsid w:val="000A2415"/>
    <w:rsid w:val="000A2418"/>
    <w:rsid w:val="000A2545"/>
    <w:rsid w:val="000A2B64"/>
    <w:rsid w:val="000A3707"/>
    <w:rsid w:val="000A3A19"/>
    <w:rsid w:val="000A45EB"/>
    <w:rsid w:val="000A46A2"/>
    <w:rsid w:val="000A49A0"/>
    <w:rsid w:val="000A53CF"/>
    <w:rsid w:val="000A5431"/>
    <w:rsid w:val="000A57D1"/>
    <w:rsid w:val="000A5B28"/>
    <w:rsid w:val="000A5FA2"/>
    <w:rsid w:val="000A61B4"/>
    <w:rsid w:val="000A6DBE"/>
    <w:rsid w:val="000A70B4"/>
    <w:rsid w:val="000A7423"/>
    <w:rsid w:val="000A7508"/>
    <w:rsid w:val="000A7C93"/>
    <w:rsid w:val="000A7C97"/>
    <w:rsid w:val="000A7DD5"/>
    <w:rsid w:val="000A7EBC"/>
    <w:rsid w:val="000B04E5"/>
    <w:rsid w:val="000B0535"/>
    <w:rsid w:val="000B08F6"/>
    <w:rsid w:val="000B0BF1"/>
    <w:rsid w:val="000B0E90"/>
    <w:rsid w:val="000B138F"/>
    <w:rsid w:val="000B1E65"/>
    <w:rsid w:val="000B1FFF"/>
    <w:rsid w:val="000B202B"/>
    <w:rsid w:val="000B202F"/>
    <w:rsid w:val="000B3097"/>
    <w:rsid w:val="000B3441"/>
    <w:rsid w:val="000B363E"/>
    <w:rsid w:val="000B376E"/>
    <w:rsid w:val="000B38CD"/>
    <w:rsid w:val="000B3CF7"/>
    <w:rsid w:val="000B42C3"/>
    <w:rsid w:val="000B4752"/>
    <w:rsid w:val="000B4963"/>
    <w:rsid w:val="000B4BB6"/>
    <w:rsid w:val="000B4C91"/>
    <w:rsid w:val="000B546A"/>
    <w:rsid w:val="000B5CDB"/>
    <w:rsid w:val="000B5F30"/>
    <w:rsid w:val="000B6475"/>
    <w:rsid w:val="000B668F"/>
    <w:rsid w:val="000B6931"/>
    <w:rsid w:val="000B6BA1"/>
    <w:rsid w:val="000B6DC0"/>
    <w:rsid w:val="000B6F5B"/>
    <w:rsid w:val="000B7222"/>
    <w:rsid w:val="000B7A98"/>
    <w:rsid w:val="000B7B3B"/>
    <w:rsid w:val="000C06B4"/>
    <w:rsid w:val="000C06D8"/>
    <w:rsid w:val="000C08B1"/>
    <w:rsid w:val="000C09C1"/>
    <w:rsid w:val="000C10BE"/>
    <w:rsid w:val="000C1193"/>
    <w:rsid w:val="000C13A3"/>
    <w:rsid w:val="000C1C99"/>
    <w:rsid w:val="000C215F"/>
    <w:rsid w:val="000C23A9"/>
    <w:rsid w:val="000C2CFB"/>
    <w:rsid w:val="000C323F"/>
    <w:rsid w:val="000C3340"/>
    <w:rsid w:val="000C38CD"/>
    <w:rsid w:val="000C3921"/>
    <w:rsid w:val="000C3B3B"/>
    <w:rsid w:val="000C3CAE"/>
    <w:rsid w:val="000C4207"/>
    <w:rsid w:val="000C46AD"/>
    <w:rsid w:val="000C4CC1"/>
    <w:rsid w:val="000C50B9"/>
    <w:rsid w:val="000C5743"/>
    <w:rsid w:val="000C583E"/>
    <w:rsid w:val="000C5936"/>
    <w:rsid w:val="000C5BBE"/>
    <w:rsid w:val="000C5DCF"/>
    <w:rsid w:val="000C5F3B"/>
    <w:rsid w:val="000C619C"/>
    <w:rsid w:val="000C66FD"/>
    <w:rsid w:val="000C7376"/>
    <w:rsid w:val="000C7550"/>
    <w:rsid w:val="000C796F"/>
    <w:rsid w:val="000C7ABE"/>
    <w:rsid w:val="000C7CB1"/>
    <w:rsid w:val="000D0ACD"/>
    <w:rsid w:val="000D0FEE"/>
    <w:rsid w:val="000D100E"/>
    <w:rsid w:val="000D121F"/>
    <w:rsid w:val="000D1510"/>
    <w:rsid w:val="000D2701"/>
    <w:rsid w:val="000D2EC6"/>
    <w:rsid w:val="000D3222"/>
    <w:rsid w:val="000D33BF"/>
    <w:rsid w:val="000D352A"/>
    <w:rsid w:val="000D372B"/>
    <w:rsid w:val="000D3BA5"/>
    <w:rsid w:val="000D3C10"/>
    <w:rsid w:val="000D4B6A"/>
    <w:rsid w:val="000D4DD6"/>
    <w:rsid w:val="000D5317"/>
    <w:rsid w:val="000D56F5"/>
    <w:rsid w:val="000D5AE0"/>
    <w:rsid w:val="000D5C56"/>
    <w:rsid w:val="000D6481"/>
    <w:rsid w:val="000D72A8"/>
    <w:rsid w:val="000D74FE"/>
    <w:rsid w:val="000D7834"/>
    <w:rsid w:val="000D7BB4"/>
    <w:rsid w:val="000D7EE6"/>
    <w:rsid w:val="000E0BA2"/>
    <w:rsid w:val="000E1800"/>
    <w:rsid w:val="000E1C3C"/>
    <w:rsid w:val="000E256D"/>
    <w:rsid w:val="000E2657"/>
    <w:rsid w:val="000E28D1"/>
    <w:rsid w:val="000E296D"/>
    <w:rsid w:val="000E30A8"/>
    <w:rsid w:val="000E3188"/>
    <w:rsid w:val="000E32EF"/>
    <w:rsid w:val="000E39C1"/>
    <w:rsid w:val="000E3A5C"/>
    <w:rsid w:val="000E3A8C"/>
    <w:rsid w:val="000E3BA0"/>
    <w:rsid w:val="000E3F88"/>
    <w:rsid w:val="000E482B"/>
    <w:rsid w:val="000E4846"/>
    <w:rsid w:val="000E4849"/>
    <w:rsid w:val="000E4904"/>
    <w:rsid w:val="000E4955"/>
    <w:rsid w:val="000E4985"/>
    <w:rsid w:val="000E49FF"/>
    <w:rsid w:val="000E4DF9"/>
    <w:rsid w:val="000E4E5F"/>
    <w:rsid w:val="000E4F57"/>
    <w:rsid w:val="000E513B"/>
    <w:rsid w:val="000E525B"/>
    <w:rsid w:val="000E5620"/>
    <w:rsid w:val="000E57EE"/>
    <w:rsid w:val="000E5A50"/>
    <w:rsid w:val="000E5B4A"/>
    <w:rsid w:val="000E5EBA"/>
    <w:rsid w:val="000E61FE"/>
    <w:rsid w:val="000E6352"/>
    <w:rsid w:val="000E6866"/>
    <w:rsid w:val="000E733A"/>
    <w:rsid w:val="000E779F"/>
    <w:rsid w:val="000F020E"/>
    <w:rsid w:val="000F0381"/>
    <w:rsid w:val="000F0504"/>
    <w:rsid w:val="000F072A"/>
    <w:rsid w:val="000F0903"/>
    <w:rsid w:val="000F0996"/>
    <w:rsid w:val="000F0A53"/>
    <w:rsid w:val="000F16AC"/>
    <w:rsid w:val="000F1765"/>
    <w:rsid w:val="000F191C"/>
    <w:rsid w:val="000F196F"/>
    <w:rsid w:val="000F19D7"/>
    <w:rsid w:val="000F21ED"/>
    <w:rsid w:val="000F2F39"/>
    <w:rsid w:val="000F3083"/>
    <w:rsid w:val="000F3A94"/>
    <w:rsid w:val="000F3AE5"/>
    <w:rsid w:val="000F40D3"/>
    <w:rsid w:val="000F44D9"/>
    <w:rsid w:val="000F47DB"/>
    <w:rsid w:val="000F4E2C"/>
    <w:rsid w:val="000F5211"/>
    <w:rsid w:val="000F545B"/>
    <w:rsid w:val="000F5720"/>
    <w:rsid w:val="000F63C4"/>
    <w:rsid w:val="000F6A81"/>
    <w:rsid w:val="000F6C37"/>
    <w:rsid w:val="000F7815"/>
    <w:rsid w:val="000F7A3C"/>
    <w:rsid w:val="00100036"/>
    <w:rsid w:val="0010005D"/>
    <w:rsid w:val="001001C3"/>
    <w:rsid w:val="00100360"/>
    <w:rsid w:val="00100397"/>
    <w:rsid w:val="001005DB"/>
    <w:rsid w:val="00100B82"/>
    <w:rsid w:val="00100C00"/>
    <w:rsid w:val="00100EF2"/>
    <w:rsid w:val="0010162B"/>
    <w:rsid w:val="00101AE9"/>
    <w:rsid w:val="001026F6"/>
    <w:rsid w:val="0010271F"/>
    <w:rsid w:val="00102E94"/>
    <w:rsid w:val="00103004"/>
    <w:rsid w:val="001036C7"/>
    <w:rsid w:val="00103C07"/>
    <w:rsid w:val="00103E4C"/>
    <w:rsid w:val="00103FA2"/>
    <w:rsid w:val="00104103"/>
    <w:rsid w:val="00104109"/>
    <w:rsid w:val="00104186"/>
    <w:rsid w:val="0010427B"/>
    <w:rsid w:val="001045C5"/>
    <w:rsid w:val="00104F53"/>
    <w:rsid w:val="001055A2"/>
    <w:rsid w:val="0010560E"/>
    <w:rsid w:val="00105FB3"/>
    <w:rsid w:val="00106A8B"/>
    <w:rsid w:val="00106C28"/>
    <w:rsid w:val="00106C77"/>
    <w:rsid w:val="00106F88"/>
    <w:rsid w:val="001075C6"/>
    <w:rsid w:val="00107725"/>
    <w:rsid w:val="00107933"/>
    <w:rsid w:val="00107E29"/>
    <w:rsid w:val="00110122"/>
    <w:rsid w:val="00110A1A"/>
    <w:rsid w:val="00111516"/>
    <w:rsid w:val="00111D27"/>
    <w:rsid w:val="00111D4D"/>
    <w:rsid w:val="00111DAC"/>
    <w:rsid w:val="00112156"/>
    <w:rsid w:val="00112EC3"/>
    <w:rsid w:val="001132B2"/>
    <w:rsid w:val="00113527"/>
    <w:rsid w:val="00113947"/>
    <w:rsid w:val="00113A1F"/>
    <w:rsid w:val="00113A22"/>
    <w:rsid w:val="00113CBD"/>
    <w:rsid w:val="00113F5E"/>
    <w:rsid w:val="00114AF0"/>
    <w:rsid w:val="00114C47"/>
    <w:rsid w:val="00115049"/>
    <w:rsid w:val="00115061"/>
    <w:rsid w:val="00115E46"/>
    <w:rsid w:val="0011698F"/>
    <w:rsid w:val="00116A5C"/>
    <w:rsid w:val="00116F76"/>
    <w:rsid w:val="0011704F"/>
    <w:rsid w:val="0011707D"/>
    <w:rsid w:val="001171F8"/>
    <w:rsid w:val="00117651"/>
    <w:rsid w:val="00117ADA"/>
    <w:rsid w:val="00117B3A"/>
    <w:rsid w:val="00117B6B"/>
    <w:rsid w:val="001201BC"/>
    <w:rsid w:val="00120323"/>
    <w:rsid w:val="00120613"/>
    <w:rsid w:val="001206C5"/>
    <w:rsid w:val="00120FE0"/>
    <w:rsid w:val="0012128F"/>
    <w:rsid w:val="00121513"/>
    <w:rsid w:val="00121ED1"/>
    <w:rsid w:val="00121F87"/>
    <w:rsid w:val="00122180"/>
    <w:rsid w:val="001221FB"/>
    <w:rsid w:val="0012228C"/>
    <w:rsid w:val="00122351"/>
    <w:rsid w:val="0012262A"/>
    <w:rsid w:val="00122D65"/>
    <w:rsid w:val="001233D1"/>
    <w:rsid w:val="00123763"/>
    <w:rsid w:val="00123B81"/>
    <w:rsid w:val="00123FAC"/>
    <w:rsid w:val="00124415"/>
    <w:rsid w:val="001249C5"/>
    <w:rsid w:val="00124BF3"/>
    <w:rsid w:val="00124E08"/>
    <w:rsid w:val="0012563F"/>
    <w:rsid w:val="001256D6"/>
    <w:rsid w:val="001257B7"/>
    <w:rsid w:val="00125BCC"/>
    <w:rsid w:val="00125C25"/>
    <w:rsid w:val="00125CAA"/>
    <w:rsid w:val="0012661A"/>
    <w:rsid w:val="00126B0A"/>
    <w:rsid w:val="00126B65"/>
    <w:rsid w:val="00126FA1"/>
    <w:rsid w:val="0012714E"/>
    <w:rsid w:val="0012767D"/>
    <w:rsid w:val="001302F3"/>
    <w:rsid w:val="00130355"/>
    <w:rsid w:val="00130974"/>
    <w:rsid w:val="00130B3A"/>
    <w:rsid w:val="00130D8B"/>
    <w:rsid w:val="00131357"/>
    <w:rsid w:val="001314F2"/>
    <w:rsid w:val="0013161F"/>
    <w:rsid w:val="00132017"/>
    <w:rsid w:val="0013247A"/>
    <w:rsid w:val="00133324"/>
    <w:rsid w:val="001333FB"/>
    <w:rsid w:val="001334A5"/>
    <w:rsid w:val="001336E2"/>
    <w:rsid w:val="001336F2"/>
    <w:rsid w:val="0013595E"/>
    <w:rsid w:val="00135CB1"/>
    <w:rsid w:val="00135FF1"/>
    <w:rsid w:val="00136762"/>
    <w:rsid w:val="0013693A"/>
    <w:rsid w:val="00136E82"/>
    <w:rsid w:val="001371C6"/>
    <w:rsid w:val="00137494"/>
    <w:rsid w:val="001374E1"/>
    <w:rsid w:val="001375F1"/>
    <w:rsid w:val="0013763C"/>
    <w:rsid w:val="00137F47"/>
    <w:rsid w:val="001402C9"/>
    <w:rsid w:val="0014064D"/>
    <w:rsid w:val="001406B7"/>
    <w:rsid w:val="00141150"/>
    <w:rsid w:val="0014119E"/>
    <w:rsid w:val="001414D1"/>
    <w:rsid w:val="00141504"/>
    <w:rsid w:val="0014167C"/>
    <w:rsid w:val="0014180B"/>
    <w:rsid w:val="0014188C"/>
    <w:rsid w:val="00141B7D"/>
    <w:rsid w:val="0014222C"/>
    <w:rsid w:val="00142317"/>
    <w:rsid w:val="00142790"/>
    <w:rsid w:val="00142D55"/>
    <w:rsid w:val="0014431E"/>
    <w:rsid w:val="00145314"/>
    <w:rsid w:val="0014551A"/>
    <w:rsid w:val="00145A64"/>
    <w:rsid w:val="00145C48"/>
    <w:rsid w:val="0014634D"/>
    <w:rsid w:val="001469BF"/>
    <w:rsid w:val="00146E37"/>
    <w:rsid w:val="00147185"/>
    <w:rsid w:val="00147192"/>
    <w:rsid w:val="00147200"/>
    <w:rsid w:val="00147435"/>
    <w:rsid w:val="0014776D"/>
    <w:rsid w:val="00147BB9"/>
    <w:rsid w:val="00147C58"/>
    <w:rsid w:val="00147E8E"/>
    <w:rsid w:val="00147F83"/>
    <w:rsid w:val="001505DA"/>
    <w:rsid w:val="00150AD3"/>
    <w:rsid w:val="001518DF"/>
    <w:rsid w:val="0015193C"/>
    <w:rsid w:val="00151EBA"/>
    <w:rsid w:val="001521B2"/>
    <w:rsid w:val="00152549"/>
    <w:rsid w:val="00152B17"/>
    <w:rsid w:val="001530B4"/>
    <w:rsid w:val="00153372"/>
    <w:rsid w:val="00153482"/>
    <w:rsid w:val="00153487"/>
    <w:rsid w:val="00153604"/>
    <w:rsid w:val="00153F4F"/>
    <w:rsid w:val="00155024"/>
    <w:rsid w:val="00155408"/>
    <w:rsid w:val="00155649"/>
    <w:rsid w:val="001556A0"/>
    <w:rsid w:val="00155B01"/>
    <w:rsid w:val="0015634C"/>
    <w:rsid w:val="001571A0"/>
    <w:rsid w:val="00157A89"/>
    <w:rsid w:val="00160373"/>
    <w:rsid w:val="0016060F"/>
    <w:rsid w:val="00160A40"/>
    <w:rsid w:val="00160D1C"/>
    <w:rsid w:val="00160D86"/>
    <w:rsid w:val="001611A0"/>
    <w:rsid w:val="00161278"/>
    <w:rsid w:val="0016165D"/>
    <w:rsid w:val="0016169C"/>
    <w:rsid w:val="00162C13"/>
    <w:rsid w:val="00163034"/>
    <w:rsid w:val="001630E9"/>
    <w:rsid w:val="001631D7"/>
    <w:rsid w:val="001633BE"/>
    <w:rsid w:val="0016399F"/>
    <w:rsid w:val="001639B8"/>
    <w:rsid w:val="0016444D"/>
    <w:rsid w:val="001644F1"/>
    <w:rsid w:val="0016480D"/>
    <w:rsid w:val="00164C87"/>
    <w:rsid w:val="00165C88"/>
    <w:rsid w:val="00165E3B"/>
    <w:rsid w:val="0016677C"/>
    <w:rsid w:val="00166DC9"/>
    <w:rsid w:val="001670EB"/>
    <w:rsid w:val="00167322"/>
    <w:rsid w:val="001677F9"/>
    <w:rsid w:val="00167D29"/>
    <w:rsid w:val="001703B1"/>
    <w:rsid w:val="001711C5"/>
    <w:rsid w:val="00171365"/>
    <w:rsid w:val="00171A4B"/>
    <w:rsid w:val="00171DF8"/>
    <w:rsid w:val="00171E13"/>
    <w:rsid w:val="0017236C"/>
    <w:rsid w:val="00172372"/>
    <w:rsid w:val="0017240B"/>
    <w:rsid w:val="0017248E"/>
    <w:rsid w:val="00172802"/>
    <w:rsid w:val="00172A27"/>
    <w:rsid w:val="00172BE1"/>
    <w:rsid w:val="00172CBD"/>
    <w:rsid w:val="00173459"/>
    <w:rsid w:val="0017372B"/>
    <w:rsid w:val="00173AF0"/>
    <w:rsid w:val="00173DA7"/>
    <w:rsid w:val="00174248"/>
    <w:rsid w:val="00174588"/>
    <w:rsid w:val="00175084"/>
    <w:rsid w:val="00175594"/>
    <w:rsid w:val="00175CF0"/>
    <w:rsid w:val="00177B5C"/>
    <w:rsid w:val="00177CB4"/>
    <w:rsid w:val="00177D78"/>
    <w:rsid w:val="0018073C"/>
    <w:rsid w:val="001807DB"/>
    <w:rsid w:val="00180A67"/>
    <w:rsid w:val="001816F6"/>
    <w:rsid w:val="001818C4"/>
    <w:rsid w:val="001819F5"/>
    <w:rsid w:val="00181B4D"/>
    <w:rsid w:val="00181B92"/>
    <w:rsid w:val="00181CC1"/>
    <w:rsid w:val="00182184"/>
    <w:rsid w:val="001838C1"/>
    <w:rsid w:val="00183AED"/>
    <w:rsid w:val="00183B22"/>
    <w:rsid w:val="00183D1B"/>
    <w:rsid w:val="00184ABC"/>
    <w:rsid w:val="00184BB2"/>
    <w:rsid w:val="00184F32"/>
    <w:rsid w:val="00184F68"/>
    <w:rsid w:val="00184F7E"/>
    <w:rsid w:val="0018508B"/>
    <w:rsid w:val="00185124"/>
    <w:rsid w:val="00186574"/>
    <w:rsid w:val="001866FE"/>
    <w:rsid w:val="00187019"/>
    <w:rsid w:val="001873D1"/>
    <w:rsid w:val="0018742C"/>
    <w:rsid w:val="001874E7"/>
    <w:rsid w:val="00187B3F"/>
    <w:rsid w:val="00187F06"/>
    <w:rsid w:val="00190069"/>
    <w:rsid w:val="00190687"/>
    <w:rsid w:val="001908A3"/>
    <w:rsid w:val="001908D9"/>
    <w:rsid w:val="00190BAD"/>
    <w:rsid w:val="00190CF7"/>
    <w:rsid w:val="0019202D"/>
    <w:rsid w:val="00192346"/>
    <w:rsid w:val="00192942"/>
    <w:rsid w:val="00192A1E"/>
    <w:rsid w:val="00192A4E"/>
    <w:rsid w:val="00193277"/>
    <w:rsid w:val="001935C2"/>
    <w:rsid w:val="00193984"/>
    <w:rsid w:val="00193CE9"/>
    <w:rsid w:val="0019401A"/>
    <w:rsid w:val="001941CB"/>
    <w:rsid w:val="0019428D"/>
    <w:rsid w:val="00194558"/>
    <w:rsid w:val="00194751"/>
    <w:rsid w:val="0019476E"/>
    <w:rsid w:val="001951D7"/>
    <w:rsid w:val="00195C06"/>
    <w:rsid w:val="001961B7"/>
    <w:rsid w:val="00196415"/>
    <w:rsid w:val="00196617"/>
    <w:rsid w:val="001966B4"/>
    <w:rsid w:val="00196C45"/>
    <w:rsid w:val="0019700B"/>
    <w:rsid w:val="0019701A"/>
    <w:rsid w:val="001974A2"/>
    <w:rsid w:val="00197C75"/>
    <w:rsid w:val="00197F31"/>
    <w:rsid w:val="001A0704"/>
    <w:rsid w:val="001A1206"/>
    <w:rsid w:val="001A1523"/>
    <w:rsid w:val="001A1E2F"/>
    <w:rsid w:val="001A2871"/>
    <w:rsid w:val="001A2AA8"/>
    <w:rsid w:val="001A2C54"/>
    <w:rsid w:val="001A2E4C"/>
    <w:rsid w:val="001A2EEF"/>
    <w:rsid w:val="001A3821"/>
    <w:rsid w:val="001A3A10"/>
    <w:rsid w:val="001A3D4B"/>
    <w:rsid w:val="001A3D6F"/>
    <w:rsid w:val="001A3E05"/>
    <w:rsid w:val="001A4167"/>
    <w:rsid w:val="001A46C8"/>
    <w:rsid w:val="001A47D2"/>
    <w:rsid w:val="001A57C7"/>
    <w:rsid w:val="001A59F5"/>
    <w:rsid w:val="001A5B40"/>
    <w:rsid w:val="001A5B4D"/>
    <w:rsid w:val="001A5F01"/>
    <w:rsid w:val="001A62C2"/>
    <w:rsid w:val="001A6642"/>
    <w:rsid w:val="001A6919"/>
    <w:rsid w:val="001A6EB5"/>
    <w:rsid w:val="001A738E"/>
    <w:rsid w:val="001A7CF9"/>
    <w:rsid w:val="001A7E7E"/>
    <w:rsid w:val="001B005E"/>
    <w:rsid w:val="001B0363"/>
    <w:rsid w:val="001B10A3"/>
    <w:rsid w:val="001B1846"/>
    <w:rsid w:val="001B19DC"/>
    <w:rsid w:val="001B1B4E"/>
    <w:rsid w:val="001B1BDA"/>
    <w:rsid w:val="001B1DF4"/>
    <w:rsid w:val="001B1FB4"/>
    <w:rsid w:val="001B232B"/>
    <w:rsid w:val="001B257A"/>
    <w:rsid w:val="001B280A"/>
    <w:rsid w:val="001B2842"/>
    <w:rsid w:val="001B2DDC"/>
    <w:rsid w:val="001B2E98"/>
    <w:rsid w:val="001B345D"/>
    <w:rsid w:val="001B356C"/>
    <w:rsid w:val="001B38FD"/>
    <w:rsid w:val="001B3B8B"/>
    <w:rsid w:val="001B3BBB"/>
    <w:rsid w:val="001B43CF"/>
    <w:rsid w:val="001B4D31"/>
    <w:rsid w:val="001B511A"/>
    <w:rsid w:val="001B63A1"/>
    <w:rsid w:val="001B68AC"/>
    <w:rsid w:val="001B6960"/>
    <w:rsid w:val="001B7211"/>
    <w:rsid w:val="001B7921"/>
    <w:rsid w:val="001B7F1B"/>
    <w:rsid w:val="001C0006"/>
    <w:rsid w:val="001C0051"/>
    <w:rsid w:val="001C0052"/>
    <w:rsid w:val="001C02D8"/>
    <w:rsid w:val="001C08AB"/>
    <w:rsid w:val="001C092A"/>
    <w:rsid w:val="001C0E77"/>
    <w:rsid w:val="001C0F9A"/>
    <w:rsid w:val="001C1CC1"/>
    <w:rsid w:val="001C1EA1"/>
    <w:rsid w:val="001C2964"/>
    <w:rsid w:val="001C2976"/>
    <w:rsid w:val="001C3C43"/>
    <w:rsid w:val="001C4210"/>
    <w:rsid w:val="001C446E"/>
    <w:rsid w:val="001C44DA"/>
    <w:rsid w:val="001C4A2F"/>
    <w:rsid w:val="001C4A55"/>
    <w:rsid w:val="001C4DD7"/>
    <w:rsid w:val="001C4EF9"/>
    <w:rsid w:val="001C598D"/>
    <w:rsid w:val="001C5CEB"/>
    <w:rsid w:val="001C5E4A"/>
    <w:rsid w:val="001C6207"/>
    <w:rsid w:val="001C7528"/>
    <w:rsid w:val="001C78D7"/>
    <w:rsid w:val="001C7E86"/>
    <w:rsid w:val="001C7F68"/>
    <w:rsid w:val="001D02A5"/>
    <w:rsid w:val="001D0FDC"/>
    <w:rsid w:val="001D1740"/>
    <w:rsid w:val="001D176D"/>
    <w:rsid w:val="001D184F"/>
    <w:rsid w:val="001D2073"/>
    <w:rsid w:val="001D275F"/>
    <w:rsid w:val="001D28A0"/>
    <w:rsid w:val="001D2E02"/>
    <w:rsid w:val="001D2E8D"/>
    <w:rsid w:val="001D33CB"/>
    <w:rsid w:val="001D34CB"/>
    <w:rsid w:val="001D37D8"/>
    <w:rsid w:val="001D3FB4"/>
    <w:rsid w:val="001D49BA"/>
    <w:rsid w:val="001D5462"/>
    <w:rsid w:val="001D5BFD"/>
    <w:rsid w:val="001D653C"/>
    <w:rsid w:val="001D6C70"/>
    <w:rsid w:val="001D79B0"/>
    <w:rsid w:val="001E0346"/>
    <w:rsid w:val="001E14EF"/>
    <w:rsid w:val="001E1667"/>
    <w:rsid w:val="001E195F"/>
    <w:rsid w:val="001E243F"/>
    <w:rsid w:val="001E25F7"/>
    <w:rsid w:val="001E29AA"/>
    <w:rsid w:val="001E2B4F"/>
    <w:rsid w:val="001E3322"/>
    <w:rsid w:val="001E3325"/>
    <w:rsid w:val="001E36F1"/>
    <w:rsid w:val="001E3DF0"/>
    <w:rsid w:val="001E3E2A"/>
    <w:rsid w:val="001E3E7D"/>
    <w:rsid w:val="001E42DE"/>
    <w:rsid w:val="001E43F0"/>
    <w:rsid w:val="001E4E39"/>
    <w:rsid w:val="001E5174"/>
    <w:rsid w:val="001E5282"/>
    <w:rsid w:val="001E57ED"/>
    <w:rsid w:val="001E5904"/>
    <w:rsid w:val="001E5DBB"/>
    <w:rsid w:val="001E663C"/>
    <w:rsid w:val="001E6A49"/>
    <w:rsid w:val="001E71C7"/>
    <w:rsid w:val="001E789C"/>
    <w:rsid w:val="001E796C"/>
    <w:rsid w:val="001E7CCD"/>
    <w:rsid w:val="001F026F"/>
    <w:rsid w:val="001F09D7"/>
    <w:rsid w:val="001F0C31"/>
    <w:rsid w:val="001F0EB6"/>
    <w:rsid w:val="001F0EBA"/>
    <w:rsid w:val="001F1073"/>
    <w:rsid w:val="001F12D8"/>
    <w:rsid w:val="001F231F"/>
    <w:rsid w:val="001F2E50"/>
    <w:rsid w:val="001F2E7D"/>
    <w:rsid w:val="001F3932"/>
    <w:rsid w:val="001F3962"/>
    <w:rsid w:val="001F3D4F"/>
    <w:rsid w:val="001F3EAE"/>
    <w:rsid w:val="001F3FDD"/>
    <w:rsid w:val="001F4416"/>
    <w:rsid w:val="001F4A9F"/>
    <w:rsid w:val="001F4DEE"/>
    <w:rsid w:val="001F5E03"/>
    <w:rsid w:val="001F62CB"/>
    <w:rsid w:val="001F6322"/>
    <w:rsid w:val="001F66C4"/>
    <w:rsid w:val="001F6E78"/>
    <w:rsid w:val="001F6ED2"/>
    <w:rsid w:val="001F7160"/>
    <w:rsid w:val="001F78E3"/>
    <w:rsid w:val="001F7F29"/>
    <w:rsid w:val="00200104"/>
    <w:rsid w:val="0020024D"/>
    <w:rsid w:val="002002BA"/>
    <w:rsid w:val="0020042F"/>
    <w:rsid w:val="00200728"/>
    <w:rsid w:val="00200A0D"/>
    <w:rsid w:val="00200A83"/>
    <w:rsid w:val="00200AEF"/>
    <w:rsid w:val="00200D0C"/>
    <w:rsid w:val="00201ABC"/>
    <w:rsid w:val="00201F86"/>
    <w:rsid w:val="0020223A"/>
    <w:rsid w:val="0020325B"/>
    <w:rsid w:val="0020329F"/>
    <w:rsid w:val="002037AC"/>
    <w:rsid w:val="002038D9"/>
    <w:rsid w:val="00203CD5"/>
    <w:rsid w:val="00203DC5"/>
    <w:rsid w:val="00204113"/>
    <w:rsid w:val="00204DF2"/>
    <w:rsid w:val="00205223"/>
    <w:rsid w:val="00205470"/>
    <w:rsid w:val="00205489"/>
    <w:rsid w:val="002054FF"/>
    <w:rsid w:val="00205747"/>
    <w:rsid w:val="00205952"/>
    <w:rsid w:val="00205EAE"/>
    <w:rsid w:val="002062AA"/>
    <w:rsid w:val="002066C7"/>
    <w:rsid w:val="00206857"/>
    <w:rsid w:val="00206D4E"/>
    <w:rsid w:val="002076D5"/>
    <w:rsid w:val="00207729"/>
    <w:rsid w:val="00207C2C"/>
    <w:rsid w:val="00207D22"/>
    <w:rsid w:val="00207FAD"/>
    <w:rsid w:val="00210A13"/>
    <w:rsid w:val="00210AFF"/>
    <w:rsid w:val="00210F3A"/>
    <w:rsid w:val="00210F59"/>
    <w:rsid w:val="0021112F"/>
    <w:rsid w:val="002119C3"/>
    <w:rsid w:val="00211A5B"/>
    <w:rsid w:val="00211A8C"/>
    <w:rsid w:val="002124DA"/>
    <w:rsid w:val="00212513"/>
    <w:rsid w:val="00212BA2"/>
    <w:rsid w:val="00212CFA"/>
    <w:rsid w:val="00212D44"/>
    <w:rsid w:val="00212E67"/>
    <w:rsid w:val="00212FAA"/>
    <w:rsid w:val="00213DE8"/>
    <w:rsid w:val="00214074"/>
    <w:rsid w:val="0021455E"/>
    <w:rsid w:val="00214656"/>
    <w:rsid w:val="002147FF"/>
    <w:rsid w:val="00214806"/>
    <w:rsid w:val="002153FD"/>
    <w:rsid w:val="00215ADF"/>
    <w:rsid w:val="00216013"/>
    <w:rsid w:val="002163A8"/>
    <w:rsid w:val="00216A58"/>
    <w:rsid w:val="00216D96"/>
    <w:rsid w:val="002172DF"/>
    <w:rsid w:val="0021776D"/>
    <w:rsid w:val="00217D5C"/>
    <w:rsid w:val="00220012"/>
    <w:rsid w:val="002201C7"/>
    <w:rsid w:val="002201F7"/>
    <w:rsid w:val="00221400"/>
    <w:rsid w:val="002215D9"/>
    <w:rsid w:val="00221A6F"/>
    <w:rsid w:val="00221D59"/>
    <w:rsid w:val="00221E28"/>
    <w:rsid w:val="00221EDD"/>
    <w:rsid w:val="00222F6C"/>
    <w:rsid w:val="00223040"/>
    <w:rsid w:val="0022342B"/>
    <w:rsid w:val="00223644"/>
    <w:rsid w:val="002236AE"/>
    <w:rsid w:val="00223AA9"/>
    <w:rsid w:val="00223DDF"/>
    <w:rsid w:val="00224350"/>
    <w:rsid w:val="00225AF3"/>
    <w:rsid w:val="00225B17"/>
    <w:rsid w:val="00225C03"/>
    <w:rsid w:val="00226C13"/>
    <w:rsid w:val="00226F86"/>
    <w:rsid w:val="0022718E"/>
    <w:rsid w:val="0022743F"/>
    <w:rsid w:val="0022744A"/>
    <w:rsid w:val="00227815"/>
    <w:rsid w:val="00227D50"/>
    <w:rsid w:val="00230C3C"/>
    <w:rsid w:val="00230C9D"/>
    <w:rsid w:val="002310F0"/>
    <w:rsid w:val="002316A7"/>
    <w:rsid w:val="002328B5"/>
    <w:rsid w:val="00232C18"/>
    <w:rsid w:val="002330A6"/>
    <w:rsid w:val="00233373"/>
    <w:rsid w:val="00233567"/>
    <w:rsid w:val="00234109"/>
    <w:rsid w:val="00234565"/>
    <w:rsid w:val="002346A4"/>
    <w:rsid w:val="00235271"/>
    <w:rsid w:val="002354E8"/>
    <w:rsid w:val="00235700"/>
    <w:rsid w:val="00235996"/>
    <w:rsid w:val="00235AC5"/>
    <w:rsid w:val="00235C64"/>
    <w:rsid w:val="0023653A"/>
    <w:rsid w:val="00236D83"/>
    <w:rsid w:val="00236DFF"/>
    <w:rsid w:val="00237164"/>
    <w:rsid w:val="00237B52"/>
    <w:rsid w:val="00237D44"/>
    <w:rsid w:val="00237E69"/>
    <w:rsid w:val="00240279"/>
    <w:rsid w:val="002402A0"/>
    <w:rsid w:val="002402F9"/>
    <w:rsid w:val="002403EC"/>
    <w:rsid w:val="00240616"/>
    <w:rsid w:val="002409E4"/>
    <w:rsid w:val="00240D96"/>
    <w:rsid w:val="00240FC1"/>
    <w:rsid w:val="002414A3"/>
    <w:rsid w:val="00241738"/>
    <w:rsid w:val="0024210B"/>
    <w:rsid w:val="002423EC"/>
    <w:rsid w:val="00243039"/>
    <w:rsid w:val="00243395"/>
    <w:rsid w:val="00243A34"/>
    <w:rsid w:val="00243FCA"/>
    <w:rsid w:val="002447E1"/>
    <w:rsid w:val="00244BE0"/>
    <w:rsid w:val="002457D0"/>
    <w:rsid w:val="0024602A"/>
    <w:rsid w:val="00246CD1"/>
    <w:rsid w:val="00247291"/>
    <w:rsid w:val="002473F1"/>
    <w:rsid w:val="0024749D"/>
    <w:rsid w:val="002475DA"/>
    <w:rsid w:val="00247AB7"/>
    <w:rsid w:val="00247DCD"/>
    <w:rsid w:val="00250106"/>
    <w:rsid w:val="00250123"/>
    <w:rsid w:val="002501FE"/>
    <w:rsid w:val="002504B6"/>
    <w:rsid w:val="00250EBC"/>
    <w:rsid w:val="00250EF6"/>
    <w:rsid w:val="00251169"/>
    <w:rsid w:val="0025142A"/>
    <w:rsid w:val="002514A7"/>
    <w:rsid w:val="002514FD"/>
    <w:rsid w:val="00251F70"/>
    <w:rsid w:val="00252246"/>
    <w:rsid w:val="00252546"/>
    <w:rsid w:val="002526B3"/>
    <w:rsid w:val="00252871"/>
    <w:rsid w:val="00253292"/>
    <w:rsid w:val="0025331D"/>
    <w:rsid w:val="0025335F"/>
    <w:rsid w:val="00253395"/>
    <w:rsid w:val="00253587"/>
    <w:rsid w:val="002538F5"/>
    <w:rsid w:val="002540AB"/>
    <w:rsid w:val="002541AD"/>
    <w:rsid w:val="002541BB"/>
    <w:rsid w:val="002544EF"/>
    <w:rsid w:val="0025498B"/>
    <w:rsid w:val="00255125"/>
    <w:rsid w:val="002552B0"/>
    <w:rsid w:val="002552C9"/>
    <w:rsid w:val="002553A7"/>
    <w:rsid w:val="002556CB"/>
    <w:rsid w:val="00255806"/>
    <w:rsid w:val="00255988"/>
    <w:rsid w:val="00255A53"/>
    <w:rsid w:val="00255D40"/>
    <w:rsid w:val="00255D99"/>
    <w:rsid w:val="002561D5"/>
    <w:rsid w:val="0025626A"/>
    <w:rsid w:val="0025666F"/>
    <w:rsid w:val="0025668D"/>
    <w:rsid w:val="002566E7"/>
    <w:rsid w:val="0025690D"/>
    <w:rsid w:val="00256B76"/>
    <w:rsid w:val="00256B80"/>
    <w:rsid w:val="00256DC6"/>
    <w:rsid w:val="00257066"/>
    <w:rsid w:val="0025734C"/>
    <w:rsid w:val="00257427"/>
    <w:rsid w:val="002574E1"/>
    <w:rsid w:val="00257946"/>
    <w:rsid w:val="00257E84"/>
    <w:rsid w:val="00257FA2"/>
    <w:rsid w:val="00260065"/>
    <w:rsid w:val="002602D7"/>
    <w:rsid w:val="0026043D"/>
    <w:rsid w:val="00260692"/>
    <w:rsid w:val="00260AA1"/>
    <w:rsid w:val="00260CD2"/>
    <w:rsid w:val="0026129E"/>
    <w:rsid w:val="00261416"/>
    <w:rsid w:val="00261883"/>
    <w:rsid w:val="00261FC4"/>
    <w:rsid w:val="002626FE"/>
    <w:rsid w:val="00262B22"/>
    <w:rsid w:val="00263A87"/>
    <w:rsid w:val="00264529"/>
    <w:rsid w:val="00264774"/>
    <w:rsid w:val="0026533F"/>
    <w:rsid w:val="002654A0"/>
    <w:rsid w:val="00265A77"/>
    <w:rsid w:val="00265BFD"/>
    <w:rsid w:val="00265D15"/>
    <w:rsid w:val="00265D53"/>
    <w:rsid w:val="00267019"/>
    <w:rsid w:val="002672C3"/>
    <w:rsid w:val="00267562"/>
    <w:rsid w:val="0026796B"/>
    <w:rsid w:val="002679E8"/>
    <w:rsid w:val="00267B69"/>
    <w:rsid w:val="00270271"/>
    <w:rsid w:val="00270323"/>
    <w:rsid w:val="00270356"/>
    <w:rsid w:val="00270399"/>
    <w:rsid w:val="00270420"/>
    <w:rsid w:val="00270A49"/>
    <w:rsid w:val="00270AF6"/>
    <w:rsid w:val="00270F1A"/>
    <w:rsid w:val="0027105D"/>
    <w:rsid w:val="002711B3"/>
    <w:rsid w:val="002714DD"/>
    <w:rsid w:val="002718E3"/>
    <w:rsid w:val="00271F2F"/>
    <w:rsid w:val="00272846"/>
    <w:rsid w:val="002729EE"/>
    <w:rsid w:val="00272D01"/>
    <w:rsid w:val="0027302A"/>
    <w:rsid w:val="002735B2"/>
    <w:rsid w:val="002736CC"/>
    <w:rsid w:val="00273BD5"/>
    <w:rsid w:val="00274068"/>
    <w:rsid w:val="00274622"/>
    <w:rsid w:val="00274E7A"/>
    <w:rsid w:val="002753E0"/>
    <w:rsid w:val="00275CB2"/>
    <w:rsid w:val="00275E37"/>
    <w:rsid w:val="00275F3D"/>
    <w:rsid w:val="00275FC0"/>
    <w:rsid w:val="00276352"/>
    <w:rsid w:val="00276D4B"/>
    <w:rsid w:val="0027715A"/>
    <w:rsid w:val="00277240"/>
    <w:rsid w:val="002774D1"/>
    <w:rsid w:val="002778D6"/>
    <w:rsid w:val="00277BD9"/>
    <w:rsid w:val="00277D22"/>
    <w:rsid w:val="00277E92"/>
    <w:rsid w:val="0028086F"/>
    <w:rsid w:val="00280EB2"/>
    <w:rsid w:val="0028104B"/>
    <w:rsid w:val="002813A5"/>
    <w:rsid w:val="002816E0"/>
    <w:rsid w:val="00281DB2"/>
    <w:rsid w:val="00281E04"/>
    <w:rsid w:val="00282CC0"/>
    <w:rsid w:val="00282E70"/>
    <w:rsid w:val="002830DC"/>
    <w:rsid w:val="002838D7"/>
    <w:rsid w:val="00283CC2"/>
    <w:rsid w:val="0028460D"/>
    <w:rsid w:val="002859A7"/>
    <w:rsid w:val="00285AF8"/>
    <w:rsid w:val="00285BC9"/>
    <w:rsid w:val="00285CFB"/>
    <w:rsid w:val="00285E04"/>
    <w:rsid w:val="00286211"/>
    <w:rsid w:val="002862C2"/>
    <w:rsid w:val="00286350"/>
    <w:rsid w:val="002863E0"/>
    <w:rsid w:val="002867D1"/>
    <w:rsid w:val="00286BDB"/>
    <w:rsid w:val="00286D1D"/>
    <w:rsid w:val="00286DAF"/>
    <w:rsid w:val="00287131"/>
    <w:rsid w:val="0028726A"/>
    <w:rsid w:val="00287F7A"/>
    <w:rsid w:val="00290C33"/>
    <w:rsid w:val="00290DF8"/>
    <w:rsid w:val="00290E96"/>
    <w:rsid w:val="002910D2"/>
    <w:rsid w:val="00291251"/>
    <w:rsid w:val="002912DE"/>
    <w:rsid w:val="0029158F"/>
    <w:rsid w:val="00291613"/>
    <w:rsid w:val="0029191D"/>
    <w:rsid w:val="00291A4A"/>
    <w:rsid w:val="00291C27"/>
    <w:rsid w:val="00291D7B"/>
    <w:rsid w:val="00291FE9"/>
    <w:rsid w:val="00292263"/>
    <w:rsid w:val="0029242E"/>
    <w:rsid w:val="00293629"/>
    <w:rsid w:val="00293FE2"/>
    <w:rsid w:val="0029402C"/>
    <w:rsid w:val="00294689"/>
    <w:rsid w:val="00294D11"/>
    <w:rsid w:val="00295204"/>
    <w:rsid w:val="00295386"/>
    <w:rsid w:val="00295675"/>
    <w:rsid w:val="002956AB"/>
    <w:rsid w:val="002957D9"/>
    <w:rsid w:val="002961D2"/>
    <w:rsid w:val="00296377"/>
    <w:rsid w:val="002963C7"/>
    <w:rsid w:val="002963F9"/>
    <w:rsid w:val="002969EB"/>
    <w:rsid w:val="00297668"/>
    <w:rsid w:val="002976FE"/>
    <w:rsid w:val="00297888"/>
    <w:rsid w:val="002978ED"/>
    <w:rsid w:val="002979D2"/>
    <w:rsid w:val="00297C26"/>
    <w:rsid w:val="002A06F2"/>
    <w:rsid w:val="002A09FB"/>
    <w:rsid w:val="002A0BA8"/>
    <w:rsid w:val="002A10E1"/>
    <w:rsid w:val="002A132D"/>
    <w:rsid w:val="002A15D3"/>
    <w:rsid w:val="002A15DE"/>
    <w:rsid w:val="002A19A3"/>
    <w:rsid w:val="002A1B2C"/>
    <w:rsid w:val="002A1B4B"/>
    <w:rsid w:val="002A21C6"/>
    <w:rsid w:val="002A2222"/>
    <w:rsid w:val="002A2848"/>
    <w:rsid w:val="002A2AA6"/>
    <w:rsid w:val="002A2C31"/>
    <w:rsid w:val="002A2F70"/>
    <w:rsid w:val="002A33E7"/>
    <w:rsid w:val="002A3463"/>
    <w:rsid w:val="002A35AB"/>
    <w:rsid w:val="002A397A"/>
    <w:rsid w:val="002A3C84"/>
    <w:rsid w:val="002A45EB"/>
    <w:rsid w:val="002A47E4"/>
    <w:rsid w:val="002A4E8E"/>
    <w:rsid w:val="002A5281"/>
    <w:rsid w:val="002A532D"/>
    <w:rsid w:val="002A5352"/>
    <w:rsid w:val="002A5E95"/>
    <w:rsid w:val="002A5F35"/>
    <w:rsid w:val="002A6387"/>
    <w:rsid w:val="002A64ED"/>
    <w:rsid w:val="002A6549"/>
    <w:rsid w:val="002A67AE"/>
    <w:rsid w:val="002A69BC"/>
    <w:rsid w:val="002A69F5"/>
    <w:rsid w:val="002A6E29"/>
    <w:rsid w:val="002A711A"/>
    <w:rsid w:val="002A723B"/>
    <w:rsid w:val="002A7D11"/>
    <w:rsid w:val="002A7EC3"/>
    <w:rsid w:val="002B00C4"/>
    <w:rsid w:val="002B06FF"/>
    <w:rsid w:val="002B0934"/>
    <w:rsid w:val="002B0960"/>
    <w:rsid w:val="002B0D5A"/>
    <w:rsid w:val="002B0D76"/>
    <w:rsid w:val="002B0EF2"/>
    <w:rsid w:val="002B1253"/>
    <w:rsid w:val="002B137C"/>
    <w:rsid w:val="002B17F1"/>
    <w:rsid w:val="002B1B40"/>
    <w:rsid w:val="002B1E9C"/>
    <w:rsid w:val="002B206B"/>
    <w:rsid w:val="002B20F8"/>
    <w:rsid w:val="002B2893"/>
    <w:rsid w:val="002B3109"/>
    <w:rsid w:val="002B33FC"/>
    <w:rsid w:val="002B3445"/>
    <w:rsid w:val="002B3506"/>
    <w:rsid w:val="002B3757"/>
    <w:rsid w:val="002B3759"/>
    <w:rsid w:val="002B3B8D"/>
    <w:rsid w:val="002B3D33"/>
    <w:rsid w:val="002B3E25"/>
    <w:rsid w:val="002B3F0D"/>
    <w:rsid w:val="002B4073"/>
    <w:rsid w:val="002B413C"/>
    <w:rsid w:val="002B4234"/>
    <w:rsid w:val="002B42C8"/>
    <w:rsid w:val="002B506C"/>
    <w:rsid w:val="002B53C5"/>
    <w:rsid w:val="002B59C2"/>
    <w:rsid w:val="002B5B3E"/>
    <w:rsid w:val="002B5B47"/>
    <w:rsid w:val="002B5C29"/>
    <w:rsid w:val="002B5D54"/>
    <w:rsid w:val="002B5DB4"/>
    <w:rsid w:val="002B5E4E"/>
    <w:rsid w:val="002B6B65"/>
    <w:rsid w:val="002B7015"/>
    <w:rsid w:val="002B746D"/>
    <w:rsid w:val="002B74D3"/>
    <w:rsid w:val="002B7574"/>
    <w:rsid w:val="002B75E8"/>
    <w:rsid w:val="002B79CF"/>
    <w:rsid w:val="002B7B07"/>
    <w:rsid w:val="002B7C23"/>
    <w:rsid w:val="002B7D4F"/>
    <w:rsid w:val="002C0429"/>
    <w:rsid w:val="002C0D91"/>
    <w:rsid w:val="002C0DD5"/>
    <w:rsid w:val="002C1206"/>
    <w:rsid w:val="002C14AD"/>
    <w:rsid w:val="002C1E5F"/>
    <w:rsid w:val="002C1EEA"/>
    <w:rsid w:val="002C2163"/>
    <w:rsid w:val="002C217A"/>
    <w:rsid w:val="002C23AC"/>
    <w:rsid w:val="002C23B6"/>
    <w:rsid w:val="002C240D"/>
    <w:rsid w:val="002C2530"/>
    <w:rsid w:val="002C27C9"/>
    <w:rsid w:val="002C2C8B"/>
    <w:rsid w:val="002C2E9A"/>
    <w:rsid w:val="002C32F6"/>
    <w:rsid w:val="002C32F8"/>
    <w:rsid w:val="002C3350"/>
    <w:rsid w:val="002C3875"/>
    <w:rsid w:val="002C4581"/>
    <w:rsid w:val="002C48CD"/>
    <w:rsid w:val="002C4FA1"/>
    <w:rsid w:val="002C5006"/>
    <w:rsid w:val="002C5DE4"/>
    <w:rsid w:val="002C5F46"/>
    <w:rsid w:val="002C6389"/>
    <w:rsid w:val="002C6691"/>
    <w:rsid w:val="002C76F3"/>
    <w:rsid w:val="002C76FD"/>
    <w:rsid w:val="002C7F30"/>
    <w:rsid w:val="002D0B2D"/>
    <w:rsid w:val="002D0CA2"/>
    <w:rsid w:val="002D1251"/>
    <w:rsid w:val="002D13CE"/>
    <w:rsid w:val="002D14F1"/>
    <w:rsid w:val="002D1BC5"/>
    <w:rsid w:val="002D1FE6"/>
    <w:rsid w:val="002D25C6"/>
    <w:rsid w:val="002D25F9"/>
    <w:rsid w:val="002D28A6"/>
    <w:rsid w:val="002D2A39"/>
    <w:rsid w:val="002D2B7E"/>
    <w:rsid w:val="002D2F4F"/>
    <w:rsid w:val="002D2FE1"/>
    <w:rsid w:val="002D3418"/>
    <w:rsid w:val="002D348E"/>
    <w:rsid w:val="002D35AE"/>
    <w:rsid w:val="002D3C62"/>
    <w:rsid w:val="002D3D0F"/>
    <w:rsid w:val="002D3ED9"/>
    <w:rsid w:val="002D48EA"/>
    <w:rsid w:val="002D4B9F"/>
    <w:rsid w:val="002D4BD5"/>
    <w:rsid w:val="002D4F81"/>
    <w:rsid w:val="002D4FF4"/>
    <w:rsid w:val="002D5E1A"/>
    <w:rsid w:val="002D6466"/>
    <w:rsid w:val="002D6AFF"/>
    <w:rsid w:val="002D70FF"/>
    <w:rsid w:val="002D7480"/>
    <w:rsid w:val="002D7D95"/>
    <w:rsid w:val="002D7E0E"/>
    <w:rsid w:val="002E09B2"/>
    <w:rsid w:val="002E0B6E"/>
    <w:rsid w:val="002E1313"/>
    <w:rsid w:val="002E1759"/>
    <w:rsid w:val="002E176D"/>
    <w:rsid w:val="002E1A93"/>
    <w:rsid w:val="002E1C86"/>
    <w:rsid w:val="002E1D3E"/>
    <w:rsid w:val="002E2434"/>
    <w:rsid w:val="002E2551"/>
    <w:rsid w:val="002E25D4"/>
    <w:rsid w:val="002E2CD6"/>
    <w:rsid w:val="002E2E74"/>
    <w:rsid w:val="002E301F"/>
    <w:rsid w:val="002E3424"/>
    <w:rsid w:val="002E342C"/>
    <w:rsid w:val="002E41DD"/>
    <w:rsid w:val="002E41EF"/>
    <w:rsid w:val="002E4462"/>
    <w:rsid w:val="002E47AC"/>
    <w:rsid w:val="002E48AF"/>
    <w:rsid w:val="002E4E3F"/>
    <w:rsid w:val="002E5187"/>
    <w:rsid w:val="002E5200"/>
    <w:rsid w:val="002E5FF4"/>
    <w:rsid w:val="002E65ED"/>
    <w:rsid w:val="002E665D"/>
    <w:rsid w:val="002E679E"/>
    <w:rsid w:val="002E67B4"/>
    <w:rsid w:val="002E6BCF"/>
    <w:rsid w:val="002E6DFC"/>
    <w:rsid w:val="002E6EEA"/>
    <w:rsid w:val="002E7106"/>
    <w:rsid w:val="002E7830"/>
    <w:rsid w:val="002E7A21"/>
    <w:rsid w:val="002E7C43"/>
    <w:rsid w:val="002E7DA8"/>
    <w:rsid w:val="002E7ED9"/>
    <w:rsid w:val="002E7F1F"/>
    <w:rsid w:val="002E7F59"/>
    <w:rsid w:val="002F0B18"/>
    <w:rsid w:val="002F0BF9"/>
    <w:rsid w:val="002F15D1"/>
    <w:rsid w:val="002F1706"/>
    <w:rsid w:val="002F1909"/>
    <w:rsid w:val="002F1A5A"/>
    <w:rsid w:val="002F1C18"/>
    <w:rsid w:val="002F1C80"/>
    <w:rsid w:val="002F1C9A"/>
    <w:rsid w:val="002F1CDB"/>
    <w:rsid w:val="002F1E5A"/>
    <w:rsid w:val="002F2271"/>
    <w:rsid w:val="002F2594"/>
    <w:rsid w:val="002F2824"/>
    <w:rsid w:val="002F3342"/>
    <w:rsid w:val="002F3875"/>
    <w:rsid w:val="002F3996"/>
    <w:rsid w:val="002F3A40"/>
    <w:rsid w:val="002F3B5B"/>
    <w:rsid w:val="002F480F"/>
    <w:rsid w:val="002F5203"/>
    <w:rsid w:val="002F5BB2"/>
    <w:rsid w:val="002F5D1F"/>
    <w:rsid w:val="002F5D32"/>
    <w:rsid w:val="002F5E7A"/>
    <w:rsid w:val="002F5EEA"/>
    <w:rsid w:val="002F6340"/>
    <w:rsid w:val="002F675A"/>
    <w:rsid w:val="002F72B0"/>
    <w:rsid w:val="002F7638"/>
    <w:rsid w:val="002F7674"/>
    <w:rsid w:val="002F7D26"/>
    <w:rsid w:val="003002A6"/>
    <w:rsid w:val="003004A0"/>
    <w:rsid w:val="00300B5D"/>
    <w:rsid w:val="00300FB2"/>
    <w:rsid w:val="00301153"/>
    <w:rsid w:val="00301A02"/>
    <w:rsid w:val="00301E03"/>
    <w:rsid w:val="0030221A"/>
    <w:rsid w:val="0030342D"/>
    <w:rsid w:val="003037CB"/>
    <w:rsid w:val="00305106"/>
    <w:rsid w:val="00305257"/>
    <w:rsid w:val="00305EDA"/>
    <w:rsid w:val="003066DD"/>
    <w:rsid w:val="00306E91"/>
    <w:rsid w:val="00306EDD"/>
    <w:rsid w:val="0030706E"/>
    <w:rsid w:val="003071A9"/>
    <w:rsid w:val="0030724E"/>
    <w:rsid w:val="00307A04"/>
    <w:rsid w:val="00307C9E"/>
    <w:rsid w:val="00310014"/>
    <w:rsid w:val="003100D0"/>
    <w:rsid w:val="0031018E"/>
    <w:rsid w:val="003102E0"/>
    <w:rsid w:val="003104E5"/>
    <w:rsid w:val="00310E39"/>
    <w:rsid w:val="00311DC3"/>
    <w:rsid w:val="00311E0F"/>
    <w:rsid w:val="00312276"/>
    <w:rsid w:val="0031228A"/>
    <w:rsid w:val="0031249F"/>
    <w:rsid w:val="003134DC"/>
    <w:rsid w:val="00313706"/>
    <w:rsid w:val="00313BFA"/>
    <w:rsid w:val="00313D27"/>
    <w:rsid w:val="00313DA2"/>
    <w:rsid w:val="00314456"/>
    <w:rsid w:val="0031483A"/>
    <w:rsid w:val="00314E53"/>
    <w:rsid w:val="00314F9B"/>
    <w:rsid w:val="003151D2"/>
    <w:rsid w:val="003157C6"/>
    <w:rsid w:val="00316555"/>
    <w:rsid w:val="003165C7"/>
    <w:rsid w:val="00317026"/>
    <w:rsid w:val="00317545"/>
    <w:rsid w:val="003179BB"/>
    <w:rsid w:val="00317F58"/>
    <w:rsid w:val="00320E83"/>
    <w:rsid w:val="00320FBE"/>
    <w:rsid w:val="0032109D"/>
    <w:rsid w:val="003212D8"/>
    <w:rsid w:val="00321522"/>
    <w:rsid w:val="00321632"/>
    <w:rsid w:val="00321F0D"/>
    <w:rsid w:val="003223E3"/>
    <w:rsid w:val="003225F4"/>
    <w:rsid w:val="003228BF"/>
    <w:rsid w:val="003229D4"/>
    <w:rsid w:val="00322CA6"/>
    <w:rsid w:val="00322D36"/>
    <w:rsid w:val="00322EC6"/>
    <w:rsid w:val="00323496"/>
    <w:rsid w:val="00323A7F"/>
    <w:rsid w:val="003244C6"/>
    <w:rsid w:val="00324B9E"/>
    <w:rsid w:val="0032512B"/>
    <w:rsid w:val="00325250"/>
    <w:rsid w:val="00325A2A"/>
    <w:rsid w:val="00325C65"/>
    <w:rsid w:val="00325E47"/>
    <w:rsid w:val="00325E92"/>
    <w:rsid w:val="00326339"/>
    <w:rsid w:val="00326451"/>
    <w:rsid w:val="0032691C"/>
    <w:rsid w:val="00326DF8"/>
    <w:rsid w:val="00327181"/>
    <w:rsid w:val="003275E3"/>
    <w:rsid w:val="00330190"/>
    <w:rsid w:val="003301B6"/>
    <w:rsid w:val="00330290"/>
    <w:rsid w:val="00330365"/>
    <w:rsid w:val="00330662"/>
    <w:rsid w:val="00330C26"/>
    <w:rsid w:val="00330DC1"/>
    <w:rsid w:val="003312DF"/>
    <w:rsid w:val="00331550"/>
    <w:rsid w:val="00331BE9"/>
    <w:rsid w:val="003326F1"/>
    <w:rsid w:val="00332C4E"/>
    <w:rsid w:val="00332EDF"/>
    <w:rsid w:val="00333424"/>
    <w:rsid w:val="00333947"/>
    <w:rsid w:val="00333A10"/>
    <w:rsid w:val="00333BB7"/>
    <w:rsid w:val="00333C11"/>
    <w:rsid w:val="0033436B"/>
    <w:rsid w:val="0033449A"/>
    <w:rsid w:val="00334715"/>
    <w:rsid w:val="00334D4F"/>
    <w:rsid w:val="00335308"/>
    <w:rsid w:val="003356EF"/>
    <w:rsid w:val="00335C67"/>
    <w:rsid w:val="00335D10"/>
    <w:rsid w:val="00336297"/>
    <w:rsid w:val="00336528"/>
    <w:rsid w:val="003368D1"/>
    <w:rsid w:val="00336C5D"/>
    <w:rsid w:val="00336F0E"/>
    <w:rsid w:val="00337465"/>
    <w:rsid w:val="003375DC"/>
    <w:rsid w:val="00337EA6"/>
    <w:rsid w:val="0034020D"/>
    <w:rsid w:val="0034024B"/>
    <w:rsid w:val="003407D5"/>
    <w:rsid w:val="003407EB"/>
    <w:rsid w:val="00340815"/>
    <w:rsid w:val="00340906"/>
    <w:rsid w:val="00340D76"/>
    <w:rsid w:val="00340E37"/>
    <w:rsid w:val="00340FAE"/>
    <w:rsid w:val="0034106B"/>
    <w:rsid w:val="0034109A"/>
    <w:rsid w:val="00341350"/>
    <w:rsid w:val="00341688"/>
    <w:rsid w:val="00341A38"/>
    <w:rsid w:val="00341CB0"/>
    <w:rsid w:val="00342104"/>
    <w:rsid w:val="003421DC"/>
    <w:rsid w:val="003424E1"/>
    <w:rsid w:val="003429DB"/>
    <w:rsid w:val="00342A90"/>
    <w:rsid w:val="00343141"/>
    <w:rsid w:val="00343CE8"/>
    <w:rsid w:val="00343ED4"/>
    <w:rsid w:val="003449A2"/>
    <w:rsid w:val="00344B55"/>
    <w:rsid w:val="00344E21"/>
    <w:rsid w:val="00345236"/>
    <w:rsid w:val="003453DA"/>
    <w:rsid w:val="003457B3"/>
    <w:rsid w:val="00346194"/>
    <w:rsid w:val="00346786"/>
    <w:rsid w:val="00346DC9"/>
    <w:rsid w:val="00347083"/>
    <w:rsid w:val="00347D6B"/>
    <w:rsid w:val="00350530"/>
    <w:rsid w:val="003505B8"/>
    <w:rsid w:val="00350687"/>
    <w:rsid w:val="0035077C"/>
    <w:rsid w:val="00350C25"/>
    <w:rsid w:val="003511B7"/>
    <w:rsid w:val="00351273"/>
    <w:rsid w:val="0035147C"/>
    <w:rsid w:val="00351656"/>
    <w:rsid w:val="00352278"/>
    <w:rsid w:val="00352522"/>
    <w:rsid w:val="00352BFE"/>
    <w:rsid w:val="00352EBA"/>
    <w:rsid w:val="00353C9D"/>
    <w:rsid w:val="00354075"/>
    <w:rsid w:val="00354A37"/>
    <w:rsid w:val="0035515A"/>
    <w:rsid w:val="00355D1C"/>
    <w:rsid w:val="00355EB2"/>
    <w:rsid w:val="0035610B"/>
    <w:rsid w:val="00356B0E"/>
    <w:rsid w:val="0035704F"/>
    <w:rsid w:val="0035723E"/>
    <w:rsid w:val="00357278"/>
    <w:rsid w:val="00357309"/>
    <w:rsid w:val="003579DE"/>
    <w:rsid w:val="00360401"/>
    <w:rsid w:val="0036059B"/>
    <w:rsid w:val="00360853"/>
    <w:rsid w:val="00360BE9"/>
    <w:rsid w:val="00361203"/>
    <w:rsid w:val="00361939"/>
    <w:rsid w:val="00361D6D"/>
    <w:rsid w:val="003626CF"/>
    <w:rsid w:val="00362748"/>
    <w:rsid w:val="00362C2D"/>
    <w:rsid w:val="00363630"/>
    <w:rsid w:val="003636C0"/>
    <w:rsid w:val="00363967"/>
    <w:rsid w:val="00363A7F"/>
    <w:rsid w:val="00363CB1"/>
    <w:rsid w:val="003648C6"/>
    <w:rsid w:val="00364B54"/>
    <w:rsid w:val="00364B66"/>
    <w:rsid w:val="00365DBD"/>
    <w:rsid w:val="003660DF"/>
    <w:rsid w:val="0036664C"/>
    <w:rsid w:val="003668F7"/>
    <w:rsid w:val="00366C85"/>
    <w:rsid w:val="00366D87"/>
    <w:rsid w:val="00366EF5"/>
    <w:rsid w:val="00367125"/>
    <w:rsid w:val="003675B5"/>
    <w:rsid w:val="00367A28"/>
    <w:rsid w:val="00367AA8"/>
    <w:rsid w:val="00367B55"/>
    <w:rsid w:val="00367F66"/>
    <w:rsid w:val="003703D5"/>
    <w:rsid w:val="00370BA2"/>
    <w:rsid w:val="00371146"/>
    <w:rsid w:val="003712D0"/>
    <w:rsid w:val="003714E1"/>
    <w:rsid w:val="003717B5"/>
    <w:rsid w:val="0037205B"/>
    <w:rsid w:val="00372FD2"/>
    <w:rsid w:val="003732AB"/>
    <w:rsid w:val="00373361"/>
    <w:rsid w:val="00373929"/>
    <w:rsid w:val="0037399F"/>
    <w:rsid w:val="00373ABB"/>
    <w:rsid w:val="00374161"/>
    <w:rsid w:val="00374511"/>
    <w:rsid w:val="0037488C"/>
    <w:rsid w:val="00374B61"/>
    <w:rsid w:val="00374D9F"/>
    <w:rsid w:val="003755BF"/>
    <w:rsid w:val="00375B98"/>
    <w:rsid w:val="00375DC2"/>
    <w:rsid w:val="0037661B"/>
    <w:rsid w:val="00376622"/>
    <w:rsid w:val="00376B4E"/>
    <w:rsid w:val="00377296"/>
    <w:rsid w:val="00377345"/>
    <w:rsid w:val="0037795D"/>
    <w:rsid w:val="00377C2D"/>
    <w:rsid w:val="00377CF1"/>
    <w:rsid w:val="00380BB3"/>
    <w:rsid w:val="003810C3"/>
    <w:rsid w:val="00381798"/>
    <w:rsid w:val="003819A8"/>
    <w:rsid w:val="00381B5A"/>
    <w:rsid w:val="00381E79"/>
    <w:rsid w:val="003825D5"/>
    <w:rsid w:val="0038261D"/>
    <w:rsid w:val="0038279D"/>
    <w:rsid w:val="00382863"/>
    <w:rsid w:val="00382F13"/>
    <w:rsid w:val="003831E5"/>
    <w:rsid w:val="00383AD3"/>
    <w:rsid w:val="00383C3E"/>
    <w:rsid w:val="00383F9C"/>
    <w:rsid w:val="0038404F"/>
    <w:rsid w:val="003842F6"/>
    <w:rsid w:val="00384359"/>
    <w:rsid w:val="00384551"/>
    <w:rsid w:val="00384F15"/>
    <w:rsid w:val="003856BF"/>
    <w:rsid w:val="0038597E"/>
    <w:rsid w:val="003867BB"/>
    <w:rsid w:val="003867E2"/>
    <w:rsid w:val="00386E21"/>
    <w:rsid w:val="003872D7"/>
    <w:rsid w:val="00387502"/>
    <w:rsid w:val="00387A37"/>
    <w:rsid w:val="0039066F"/>
    <w:rsid w:val="00391277"/>
    <w:rsid w:val="003916CE"/>
    <w:rsid w:val="00391B5E"/>
    <w:rsid w:val="00391BE9"/>
    <w:rsid w:val="00391F1D"/>
    <w:rsid w:val="0039226C"/>
    <w:rsid w:val="003924E7"/>
    <w:rsid w:val="003925E7"/>
    <w:rsid w:val="00392941"/>
    <w:rsid w:val="003939F6"/>
    <w:rsid w:val="00394804"/>
    <w:rsid w:val="00394E69"/>
    <w:rsid w:val="00394F83"/>
    <w:rsid w:val="0039515F"/>
    <w:rsid w:val="003957D3"/>
    <w:rsid w:val="0039595A"/>
    <w:rsid w:val="00395961"/>
    <w:rsid w:val="00395A9A"/>
    <w:rsid w:val="00396D3B"/>
    <w:rsid w:val="00396F32"/>
    <w:rsid w:val="0039704A"/>
    <w:rsid w:val="003A016A"/>
    <w:rsid w:val="003A03E3"/>
    <w:rsid w:val="003A066F"/>
    <w:rsid w:val="003A074A"/>
    <w:rsid w:val="003A07A4"/>
    <w:rsid w:val="003A083C"/>
    <w:rsid w:val="003A0BB3"/>
    <w:rsid w:val="003A18DD"/>
    <w:rsid w:val="003A2749"/>
    <w:rsid w:val="003A29A2"/>
    <w:rsid w:val="003A3F24"/>
    <w:rsid w:val="003A4050"/>
    <w:rsid w:val="003A49D6"/>
    <w:rsid w:val="003A4CE8"/>
    <w:rsid w:val="003A4D2A"/>
    <w:rsid w:val="003A4F7B"/>
    <w:rsid w:val="003A5165"/>
    <w:rsid w:val="003A539C"/>
    <w:rsid w:val="003A5DF0"/>
    <w:rsid w:val="003A5EBE"/>
    <w:rsid w:val="003A606D"/>
    <w:rsid w:val="003A6107"/>
    <w:rsid w:val="003A669D"/>
    <w:rsid w:val="003A66C1"/>
    <w:rsid w:val="003A67CF"/>
    <w:rsid w:val="003A6B4B"/>
    <w:rsid w:val="003A70A0"/>
    <w:rsid w:val="003A712A"/>
    <w:rsid w:val="003A71C0"/>
    <w:rsid w:val="003A7E7B"/>
    <w:rsid w:val="003B0CE5"/>
    <w:rsid w:val="003B154F"/>
    <w:rsid w:val="003B1D4C"/>
    <w:rsid w:val="003B21D9"/>
    <w:rsid w:val="003B2A90"/>
    <w:rsid w:val="003B2BA6"/>
    <w:rsid w:val="003B2DF3"/>
    <w:rsid w:val="003B4296"/>
    <w:rsid w:val="003B4440"/>
    <w:rsid w:val="003B45BC"/>
    <w:rsid w:val="003B498D"/>
    <w:rsid w:val="003B49BF"/>
    <w:rsid w:val="003B5F14"/>
    <w:rsid w:val="003B656D"/>
    <w:rsid w:val="003B71F6"/>
    <w:rsid w:val="003B72E9"/>
    <w:rsid w:val="003B781C"/>
    <w:rsid w:val="003B7F4E"/>
    <w:rsid w:val="003C04BB"/>
    <w:rsid w:val="003C0544"/>
    <w:rsid w:val="003C1115"/>
    <w:rsid w:val="003C122B"/>
    <w:rsid w:val="003C12D8"/>
    <w:rsid w:val="003C1ABB"/>
    <w:rsid w:val="003C1DB1"/>
    <w:rsid w:val="003C20A5"/>
    <w:rsid w:val="003C2187"/>
    <w:rsid w:val="003C246C"/>
    <w:rsid w:val="003C274D"/>
    <w:rsid w:val="003C2A64"/>
    <w:rsid w:val="003C2A93"/>
    <w:rsid w:val="003C2C35"/>
    <w:rsid w:val="003C3274"/>
    <w:rsid w:val="003C3759"/>
    <w:rsid w:val="003C377E"/>
    <w:rsid w:val="003C389A"/>
    <w:rsid w:val="003C3A50"/>
    <w:rsid w:val="003C3D58"/>
    <w:rsid w:val="003C40A1"/>
    <w:rsid w:val="003C42B0"/>
    <w:rsid w:val="003C42B2"/>
    <w:rsid w:val="003C459B"/>
    <w:rsid w:val="003C46CE"/>
    <w:rsid w:val="003C4C3B"/>
    <w:rsid w:val="003C4EE0"/>
    <w:rsid w:val="003C4F17"/>
    <w:rsid w:val="003C584F"/>
    <w:rsid w:val="003C5B35"/>
    <w:rsid w:val="003C5DDF"/>
    <w:rsid w:val="003C5FDB"/>
    <w:rsid w:val="003C63B1"/>
    <w:rsid w:val="003C6644"/>
    <w:rsid w:val="003C6930"/>
    <w:rsid w:val="003C6AA3"/>
    <w:rsid w:val="003C6AB6"/>
    <w:rsid w:val="003C6E8C"/>
    <w:rsid w:val="003C71BC"/>
    <w:rsid w:val="003C723B"/>
    <w:rsid w:val="003C7484"/>
    <w:rsid w:val="003C7605"/>
    <w:rsid w:val="003C7675"/>
    <w:rsid w:val="003C7762"/>
    <w:rsid w:val="003D059D"/>
    <w:rsid w:val="003D1181"/>
    <w:rsid w:val="003D12EB"/>
    <w:rsid w:val="003D1D52"/>
    <w:rsid w:val="003D2D75"/>
    <w:rsid w:val="003D3ADD"/>
    <w:rsid w:val="003D3B7D"/>
    <w:rsid w:val="003D3BE2"/>
    <w:rsid w:val="003D4514"/>
    <w:rsid w:val="003D46FB"/>
    <w:rsid w:val="003D49CA"/>
    <w:rsid w:val="003D4CC8"/>
    <w:rsid w:val="003D4D96"/>
    <w:rsid w:val="003D4DAD"/>
    <w:rsid w:val="003D4FCA"/>
    <w:rsid w:val="003D4FEF"/>
    <w:rsid w:val="003D62BB"/>
    <w:rsid w:val="003D62E8"/>
    <w:rsid w:val="003D64D1"/>
    <w:rsid w:val="003D65BB"/>
    <w:rsid w:val="003D698D"/>
    <w:rsid w:val="003D737A"/>
    <w:rsid w:val="003D74F7"/>
    <w:rsid w:val="003D788E"/>
    <w:rsid w:val="003E001C"/>
    <w:rsid w:val="003E006D"/>
    <w:rsid w:val="003E00BB"/>
    <w:rsid w:val="003E0297"/>
    <w:rsid w:val="003E03AF"/>
    <w:rsid w:val="003E061E"/>
    <w:rsid w:val="003E1F97"/>
    <w:rsid w:val="003E228D"/>
    <w:rsid w:val="003E25CC"/>
    <w:rsid w:val="003E2B16"/>
    <w:rsid w:val="003E31DD"/>
    <w:rsid w:val="003E3765"/>
    <w:rsid w:val="003E3A5B"/>
    <w:rsid w:val="003E4607"/>
    <w:rsid w:val="003E47A7"/>
    <w:rsid w:val="003E4DA5"/>
    <w:rsid w:val="003E4DEE"/>
    <w:rsid w:val="003E50FF"/>
    <w:rsid w:val="003E5206"/>
    <w:rsid w:val="003E57E0"/>
    <w:rsid w:val="003E606C"/>
    <w:rsid w:val="003E619C"/>
    <w:rsid w:val="003E6D06"/>
    <w:rsid w:val="003E6F22"/>
    <w:rsid w:val="003E72E9"/>
    <w:rsid w:val="003E76A2"/>
    <w:rsid w:val="003E7E6D"/>
    <w:rsid w:val="003F011A"/>
    <w:rsid w:val="003F0638"/>
    <w:rsid w:val="003F0B33"/>
    <w:rsid w:val="003F127A"/>
    <w:rsid w:val="003F18BB"/>
    <w:rsid w:val="003F1A07"/>
    <w:rsid w:val="003F1D36"/>
    <w:rsid w:val="003F1E93"/>
    <w:rsid w:val="003F1F70"/>
    <w:rsid w:val="003F22C7"/>
    <w:rsid w:val="003F233C"/>
    <w:rsid w:val="003F26E3"/>
    <w:rsid w:val="003F2DAC"/>
    <w:rsid w:val="003F2FBE"/>
    <w:rsid w:val="003F3DD5"/>
    <w:rsid w:val="003F453E"/>
    <w:rsid w:val="003F46BA"/>
    <w:rsid w:val="003F4C73"/>
    <w:rsid w:val="003F509E"/>
    <w:rsid w:val="003F52BD"/>
    <w:rsid w:val="003F53B6"/>
    <w:rsid w:val="003F56B2"/>
    <w:rsid w:val="003F5D6D"/>
    <w:rsid w:val="003F5E8A"/>
    <w:rsid w:val="003F5FD9"/>
    <w:rsid w:val="003F61A4"/>
    <w:rsid w:val="003F63F3"/>
    <w:rsid w:val="003F66A5"/>
    <w:rsid w:val="003F6713"/>
    <w:rsid w:val="003F6D06"/>
    <w:rsid w:val="003F713C"/>
    <w:rsid w:val="003F71BF"/>
    <w:rsid w:val="003F769C"/>
    <w:rsid w:val="003F78A3"/>
    <w:rsid w:val="004009C2"/>
    <w:rsid w:val="00401D32"/>
    <w:rsid w:val="00401F54"/>
    <w:rsid w:val="0040232E"/>
    <w:rsid w:val="00402601"/>
    <w:rsid w:val="004027B3"/>
    <w:rsid w:val="00402834"/>
    <w:rsid w:val="00402C19"/>
    <w:rsid w:val="00402E53"/>
    <w:rsid w:val="00402FC3"/>
    <w:rsid w:val="00403BF8"/>
    <w:rsid w:val="00403FA4"/>
    <w:rsid w:val="0040456D"/>
    <w:rsid w:val="004045E9"/>
    <w:rsid w:val="00404817"/>
    <w:rsid w:val="004048BB"/>
    <w:rsid w:val="00405319"/>
    <w:rsid w:val="00405389"/>
    <w:rsid w:val="0040548F"/>
    <w:rsid w:val="0040629C"/>
    <w:rsid w:val="00406B47"/>
    <w:rsid w:val="00406FD9"/>
    <w:rsid w:val="0040776D"/>
    <w:rsid w:val="0040777F"/>
    <w:rsid w:val="00407F1D"/>
    <w:rsid w:val="00410351"/>
    <w:rsid w:val="00410806"/>
    <w:rsid w:val="00410B16"/>
    <w:rsid w:val="00410B87"/>
    <w:rsid w:val="00410F07"/>
    <w:rsid w:val="00410F11"/>
    <w:rsid w:val="0041126D"/>
    <w:rsid w:val="00411F76"/>
    <w:rsid w:val="004123F1"/>
    <w:rsid w:val="004123F9"/>
    <w:rsid w:val="00412413"/>
    <w:rsid w:val="004125C4"/>
    <w:rsid w:val="00412F7F"/>
    <w:rsid w:val="0041335A"/>
    <w:rsid w:val="00413413"/>
    <w:rsid w:val="00413546"/>
    <w:rsid w:val="00413EC0"/>
    <w:rsid w:val="00414215"/>
    <w:rsid w:val="004142DC"/>
    <w:rsid w:val="00414ECA"/>
    <w:rsid w:val="00415580"/>
    <w:rsid w:val="004156AA"/>
    <w:rsid w:val="00415719"/>
    <w:rsid w:val="00415CEA"/>
    <w:rsid w:val="004162E9"/>
    <w:rsid w:val="00416572"/>
    <w:rsid w:val="0041678E"/>
    <w:rsid w:val="00416933"/>
    <w:rsid w:val="00417057"/>
    <w:rsid w:val="004171FD"/>
    <w:rsid w:val="0041745C"/>
    <w:rsid w:val="0041757F"/>
    <w:rsid w:val="0041759E"/>
    <w:rsid w:val="00417B5D"/>
    <w:rsid w:val="00417D1B"/>
    <w:rsid w:val="00420873"/>
    <w:rsid w:val="00420890"/>
    <w:rsid w:val="00420A92"/>
    <w:rsid w:val="00420B01"/>
    <w:rsid w:val="00420B5F"/>
    <w:rsid w:val="00421439"/>
    <w:rsid w:val="00421491"/>
    <w:rsid w:val="004218A8"/>
    <w:rsid w:val="0042193B"/>
    <w:rsid w:val="0042197C"/>
    <w:rsid w:val="00421BC1"/>
    <w:rsid w:val="00421C56"/>
    <w:rsid w:val="00422223"/>
    <w:rsid w:val="00422306"/>
    <w:rsid w:val="0042255D"/>
    <w:rsid w:val="0042255F"/>
    <w:rsid w:val="004225D4"/>
    <w:rsid w:val="004228F1"/>
    <w:rsid w:val="00422A13"/>
    <w:rsid w:val="00422A69"/>
    <w:rsid w:val="00423743"/>
    <w:rsid w:val="00423A02"/>
    <w:rsid w:val="00423C54"/>
    <w:rsid w:val="004243AD"/>
    <w:rsid w:val="00424475"/>
    <w:rsid w:val="00424557"/>
    <w:rsid w:val="004246EB"/>
    <w:rsid w:val="004252A4"/>
    <w:rsid w:val="004254B1"/>
    <w:rsid w:val="00425A7E"/>
    <w:rsid w:val="00425D5B"/>
    <w:rsid w:val="0042635E"/>
    <w:rsid w:val="004263B7"/>
    <w:rsid w:val="004266E9"/>
    <w:rsid w:val="00426894"/>
    <w:rsid w:val="00426DE0"/>
    <w:rsid w:val="00427386"/>
    <w:rsid w:val="00427562"/>
    <w:rsid w:val="004276A0"/>
    <w:rsid w:val="00427863"/>
    <w:rsid w:val="00427C22"/>
    <w:rsid w:val="00427D4B"/>
    <w:rsid w:val="00427EFF"/>
    <w:rsid w:val="00430485"/>
    <w:rsid w:val="00430614"/>
    <w:rsid w:val="00430919"/>
    <w:rsid w:val="00430ED8"/>
    <w:rsid w:val="0043129E"/>
    <w:rsid w:val="00431318"/>
    <w:rsid w:val="00431F2F"/>
    <w:rsid w:val="00431FBC"/>
    <w:rsid w:val="004323FD"/>
    <w:rsid w:val="0043277F"/>
    <w:rsid w:val="00432F31"/>
    <w:rsid w:val="004335F9"/>
    <w:rsid w:val="00433BC0"/>
    <w:rsid w:val="004341E1"/>
    <w:rsid w:val="0043435D"/>
    <w:rsid w:val="0043497A"/>
    <w:rsid w:val="00434986"/>
    <w:rsid w:val="00434C56"/>
    <w:rsid w:val="00434D45"/>
    <w:rsid w:val="00434D5A"/>
    <w:rsid w:val="0043530F"/>
    <w:rsid w:val="0043572F"/>
    <w:rsid w:val="00435A81"/>
    <w:rsid w:val="00435E38"/>
    <w:rsid w:val="004362F3"/>
    <w:rsid w:val="004363D2"/>
    <w:rsid w:val="004365FB"/>
    <w:rsid w:val="004367C2"/>
    <w:rsid w:val="00436FEC"/>
    <w:rsid w:val="00437081"/>
    <w:rsid w:val="00437232"/>
    <w:rsid w:val="00440168"/>
    <w:rsid w:val="004408C8"/>
    <w:rsid w:val="00440939"/>
    <w:rsid w:val="00440AB6"/>
    <w:rsid w:val="00440E4F"/>
    <w:rsid w:val="00441121"/>
    <w:rsid w:val="00441243"/>
    <w:rsid w:val="00441466"/>
    <w:rsid w:val="0044163B"/>
    <w:rsid w:val="004417C3"/>
    <w:rsid w:val="00441855"/>
    <w:rsid w:val="004423C2"/>
    <w:rsid w:val="00442449"/>
    <w:rsid w:val="00442718"/>
    <w:rsid w:val="00442CFF"/>
    <w:rsid w:val="004433D0"/>
    <w:rsid w:val="00443513"/>
    <w:rsid w:val="00443627"/>
    <w:rsid w:val="004436D9"/>
    <w:rsid w:val="00444020"/>
    <w:rsid w:val="004444F9"/>
    <w:rsid w:val="0044455F"/>
    <w:rsid w:val="004448A7"/>
    <w:rsid w:val="004448BD"/>
    <w:rsid w:val="00444C92"/>
    <w:rsid w:val="00444E2B"/>
    <w:rsid w:val="0044598F"/>
    <w:rsid w:val="00445AB2"/>
    <w:rsid w:val="00446276"/>
    <w:rsid w:val="00446824"/>
    <w:rsid w:val="0044695E"/>
    <w:rsid w:val="00446EB7"/>
    <w:rsid w:val="0044702E"/>
    <w:rsid w:val="00447087"/>
    <w:rsid w:val="004470B3"/>
    <w:rsid w:val="00447357"/>
    <w:rsid w:val="00447437"/>
    <w:rsid w:val="00447666"/>
    <w:rsid w:val="00447D5C"/>
    <w:rsid w:val="00447E39"/>
    <w:rsid w:val="004504FE"/>
    <w:rsid w:val="004509A3"/>
    <w:rsid w:val="004509FE"/>
    <w:rsid w:val="00450E28"/>
    <w:rsid w:val="00450E78"/>
    <w:rsid w:val="00450E7D"/>
    <w:rsid w:val="00450F8A"/>
    <w:rsid w:val="004510FC"/>
    <w:rsid w:val="00451611"/>
    <w:rsid w:val="00451A5A"/>
    <w:rsid w:val="00451B09"/>
    <w:rsid w:val="00452C1B"/>
    <w:rsid w:val="0045304B"/>
    <w:rsid w:val="00453527"/>
    <w:rsid w:val="00453740"/>
    <w:rsid w:val="004537BC"/>
    <w:rsid w:val="0045439B"/>
    <w:rsid w:val="00454D8A"/>
    <w:rsid w:val="004550B8"/>
    <w:rsid w:val="00455119"/>
    <w:rsid w:val="004551A3"/>
    <w:rsid w:val="004555CC"/>
    <w:rsid w:val="00455A4C"/>
    <w:rsid w:val="00455C0F"/>
    <w:rsid w:val="00455E8B"/>
    <w:rsid w:val="0045604F"/>
    <w:rsid w:val="004568F8"/>
    <w:rsid w:val="00456943"/>
    <w:rsid w:val="00456F76"/>
    <w:rsid w:val="0045752F"/>
    <w:rsid w:val="004575D9"/>
    <w:rsid w:val="004603A6"/>
    <w:rsid w:val="00460452"/>
    <w:rsid w:val="004604F1"/>
    <w:rsid w:val="00460D3E"/>
    <w:rsid w:val="0046110B"/>
    <w:rsid w:val="0046113B"/>
    <w:rsid w:val="00461281"/>
    <w:rsid w:val="004614D9"/>
    <w:rsid w:val="004617E7"/>
    <w:rsid w:val="00461DBA"/>
    <w:rsid w:val="00461E0C"/>
    <w:rsid w:val="00462190"/>
    <w:rsid w:val="00462884"/>
    <w:rsid w:val="00462992"/>
    <w:rsid w:val="00462BA7"/>
    <w:rsid w:val="004632D8"/>
    <w:rsid w:val="00463A86"/>
    <w:rsid w:val="00463B5B"/>
    <w:rsid w:val="00463E4F"/>
    <w:rsid w:val="00464BD2"/>
    <w:rsid w:val="00464E3B"/>
    <w:rsid w:val="004650EB"/>
    <w:rsid w:val="00465201"/>
    <w:rsid w:val="0046573D"/>
    <w:rsid w:val="0046574C"/>
    <w:rsid w:val="0046601B"/>
    <w:rsid w:val="00466182"/>
    <w:rsid w:val="004661D1"/>
    <w:rsid w:val="00466791"/>
    <w:rsid w:val="00466F37"/>
    <w:rsid w:val="004676EF"/>
    <w:rsid w:val="00467C35"/>
    <w:rsid w:val="00467C73"/>
    <w:rsid w:val="00467E5D"/>
    <w:rsid w:val="00470204"/>
    <w:rsid w:val="0047074B"/>
    <w:rsid w:val="004708EB"/>
    <w:rsid w:val="00471474"/>
    <w:rsid w:val="00471575"/>
    <w:rsid w:val="00471B4B"/>
    <w:rsid w:val="00472019"/>
    <w:rsid w:val="0047218B"/>
    <w:rsid w:val="0047264C"/>
    <w:rsid w:val="00473279"/>
    <w:rsid w:val="0047383F"/>
    <w:rsid w:val="00473DE0"/>
    <w:rsid w:val="00473DE8"/>
    <w:rsid w:val="00473EB6"/>
    <w:rsid w:val="00473F9D"/>
    <w:rsid w:val="00474336"/>
    <w:rsid w:val="00474511"/>
    <w:rsid w:val="00474AB3"/>
    <w:rsid w:val="004750B3"/>
    <w:rsid w:val="00475618"/>
    <w:rsid w:val="004757C2"/>
    <w:rsid w:val="00475D9B"/>
    <w:rsid w:val="00475DA0"/>
    <w:rsid w:val="00476405"/>
    <w:rsid w:val="00476520"/>
    <w:rsid w:val="004765A2"/>
    <w:rsid w:val="004767E5"/>
    <w:rsid w:val="004770E8"/>
    <w:rsid w:val="0047723E"/>
    <w:rsid w:val="004772AE"/>
    <w:rsid w:val="00477365"/>
    <w:rsid w:val="004773E4"/>
    <w:rsid w:val="004778B4"/>
    <w:rsid w:val="004800FF"/>
    <w:rsid w:val="004805B9"/>
    <w:rsid w:val="004808AA"/>
    <w:rsid w:val="00480B43"/>
    <w:rsid w:val="00480D8A"/>
    <w:rsid w:val="0048114B"/>
    <w:rsid w:val="0048159D"/>
    <w:rsid w:val="00481C7D"/>
    <w:rsid w:val="00481F52"/>
    <w:rsid w:val="00482301"/>
    <w:rsid w:val="00482A0E"/>
    <w:rsid w:val="00483E20"/>
    <w:rsid w:val="00483F92"/>
    <w:rsid w:val="00483FC6"/>
    <w:rsid w:val="0048438F"/>
    <w:rsid w:val="004846FB"/>
    <w:rsid w:val="00484708"/>
    <w:rsid w:val="00484834"/>
    <w:rsid w:val="00484839"/>
    <w:rsid w:val="00484EE7"/>
    <w:rsid w:val="0048528C"/>
    <w:rsid w:val="004867C6"/>
    <w:rsid w:val="00486AD6"/>
    <w:rsid w:val="00486C91"/>
    <w:rsid w:val="00486D66"/>
    <w:rsid w:val="00486DEA"/>
    <w:rsid w:val="0048750B"/>
    <w:rsid w:val="00487A9F"/>
    <w:rsid w:val="00487C0A"/>
    <w:rsid w:val="00490258"/>
    <w:rsid w:val="0049059C"/>
    <w:rsid w:val="00490A9E"/>
    <w:rsid w:val="00491609"/>
    <w:rsid w:val="00492141"/>
    <w:rsid w:val="00492563"/>
    <w:rsid w:val="0049287D"/>
    <w:rsid w:val="00492A18"/>
    <w:rsid w:val="00492F8F"/>
    <w:rsid w:val="0049338C"/>
    <w:rsid w:val="004933BB"/>
    <w:rsid w:val="004934FC"/>
    <w:rsid w:val="004935BB"/>
    <w:rsid w:val="004936A9"/>
    <w:rsid w:val="004938E0"/>
    <w:rsid w:val="004941F6"/>
    <w:rsid w:val="004949A3"/>
    <w:rsid w:val="00494DB8"/>
    <w:rsid w:val="00494F6F"/>
    <w:rsid w:val="00495453"/>
    <w:rsid w:val="004957EE"/>
    <w:rsid w:val="00495E25"/>
    <w:rsid w:val="00495EF7"/>
    <w:rsid w:val="004960B9"/>
    <w:rsid w:val="004960D3"/>
    <w:rsid w:val="004961D9"/>
    <w:rsid w:val="00496CA1"/>
    <w:rsid w:val="00496F74"/>
    <w:rsid w:val="00496F9B"/>
    <w:rsid w:val="004976C4"/>
    <w:rsid w:val="0049778D"/>
    <w:rsid w:val="00497FE1"/>
    <w:rsid w:val="004A0A74"/>
    <w:rsid w:val="004A0C14"/>
    <w:rsid w:val="004A0EF0"/>
    <w:rsid w:val="004A1882"/>
    <w:rsid w:val="004A1A24"/>
    <w:rsid w:val="004A1DB5"/>
    <w:rsid w:val="004A23FC"/>
    <w:rsid w:val="004A27AE"/>
    <w:rsid w:val="004A2B44"/>
    <w:rsid w:val="004A2EE3"/>
    <w:rsid w:val="004A32E7"/>
    <w:rsid w:val="004A3313"/>
    <w:rsid w:val="004A42F2"/>
    <w:rsid w:val="004A4C42"/>
    <w:rsid w:val="004A4EC7"/>
    <w:rsid w:val="004A5D4E"/>
    <w:rsid w:val="004A5EA4"/>
    <w:rsid w:val="004A5F08"/>
    <w:rsid w:val="004A5F7B"/>
    <w:rsid w:val="004A6076"/>
    <w:rsid w:val="004A6FDF"/>
    <w:rsid w:val="004A7990"/>
    <w:rsid w:val="004A7AC0"/>
    <w:rsid w:val="004A7B02"/>
    <w:rsid w:val="004A7B0D"/>
    <w:rsid w:val="004A7B0F"/>
    <w:rsid w:val="004A7B35"/>
    <w:rsid w:val="004A7F64"/>
    <w:rsid w:val="004B0009"/>
    <w:rsid w:val="004B01C1"/>
    <w:rsid w:val="004B01F5"/>
    <w:rsid w:val="004B1834"/>
    <w:rsid w:val="004B19F5"/>
    <w:rsid w:val="004B1AFB"/>
    <w:rsid w:val="004B1AFC"/>
    <w:rsid w:val="004B22BD"/>
    <w:rsid w:val="004B2739"/>
    <w:rsid w:val="004B2A77"/>
    <w:rsid w:val="004B2B21"/>
    <w:rsid w:val="004B2FD4"/>
    <w:rsid w:val="004B315D"/>
    <w:rsid w:val="004B39B3"/>
    <w:rsid w:val="004B4516"/>
    <w:rsid w:val="004B595E"/>
    <w:rsid w:val="004B5B1E"/>
    <w:rsid w:val="004B5E20"/>
    <w:rsid w:val="004B5FAA"/>
    <w:rsid w:val="004B6AB9"/>
    <w:rsid w:val="004B6B42"/>
    <w:rsid w:val="004B6DAC"/>
    <w:rsid w:val="004B7188"/>
    <w:rsid w:val="004B72A5"/>
    <w:rsid w:val="004B7424"/>
    <w:rsid w:val="004B7795"/>
    <w:rsid w:val="004B7817"/>
    <w:rsid w:val="004B7C2D"/>
    <w:rsid w:val="004B7E3E"/>
    <w:rsid w:val="004C0067"/>
    <w:rsid w:val="004C0309"/>
    <w:rsid w:val="004C03A0"/>
    <w:rsid w:val="004C06C4"/>
    <w:rsid w:val="004C0B59"/>
    <w:rsid w:val="004C11EF"/>
    <w:rsid w:val="004C24C9"/>
    <w:rsid w:val="004C2902"/>
    <w:rsid w:val="004C2DB4"/>
    <w:rsid w:val="004C2E0E"/>
    <w:rsid w:val="004C3982"/>
    <w:rsid w:val="004C3A3E"/>
    <w:rsid w:val="004C3A4B"/>
    <w:rsid w:val="004C4630"/>
    <w:rsid w:val="004C4C91"/>
    <w:rsid w:val="004C4DB1"/>
    <w:rsid w:val="004C4FAA"/>
    <w:rsid w:val="004C50D8"/>
    <w:rsid w:val="004C52D4"/>
    <w:rsid w:val="004C5724"/>
    <w:rsid w:val="004C5A93"/>
    <w:rsid w:val="004C6143"/>
    <w:rsid w:val="004C61CC"/>
    <w:rsid w:val="004C63E4"/>
    <w:rsid w:val="004C63EE"/>
    <w:rsid w:val="004C658B"/>
    <w:rsid w:val="004C6942"/>
    <w:rsid w:val="004C6A72"/>
    <w:rsid w:val="004C6AF6"/>
    <w:rsid w:val="004C6B1B"/>
    <w:rsid w:val="004C6BE8"/>
    <w:rsid w:val="004C7056"/>
    <w:rsid w:val="004C7267"/>
    <w:rsid w:val="004C72B6"/>
    <w:rsid w:val="004C7355"/>
    <w:rsid w:val="004C76C4"/>
    <w:rsid w:val="004C7A74"/>
    <w:rsid w:val="004C7B72"/>
    <w:rsid w:val="004C7DE8"/>
    <w:rsid w:val="004C7E06"/>
    <w:rsid w:val="004D020A"/>
    <w:rsid w:val="004D0307"/>
    <w:rsid w:val="004D072F"/>
    <w:rsid w:val="004D0824"/>
    <w:rsid w:val="004D087D"/>
    <w:rsid w:val="004D0BB3"/>
    <w:rsid w:val="004D0E35"/>
    <w:rsid w:val="004D14E9"/>
    <w:rsid w:val="004D174E"/>
    <w:rsid w:val="004D1DE8"/>
    <w:rsid w:val="004D2479"/>
    <w:rsid w:val="004D2C47"/>
    <w:rsid w:val="004D317F"/>
    <w:rsid w:val="004D338D"/>
    <w:rsid w:val="004D34A0"/>
    <w:rsid w:val="004D36DF"/>
    <w:rsid w:val="004D449A"/>
    <w:rsid w:val="004D4B04"/>
    <w:rsid w:val="004D4C9D"/>
    <w:rsid w:val="004D5088"/>
    <w:rsid w:val="004D5196"/>
    <w:rsid w:val="004D522E"/>
    <w:rsid w:val="004D5509"/>
    <w:rsid w:val="004D5CC5"/>
    <w:rsid w:val="004D626A"/>
    <w:rsid w:val="004D6349"/>
    <w:rsid w:val="004D6381"/>
    <w:rsid w:val="004D66C0"/>
    <w:rsid w:val="004D679E"/>
    <w:rsid w:val="004D6A93"/>
    <w:rsid w:val="004D6C81"/>
    <w:rsid w:val="004D7615"/>
    <w:rsid w:val="004D7B0D"/>
    <w:rsid w:val="004D7F5A"/>
    <w:rsid w:val="004E01FF"/>
    <w:rsid w:val="004E0572"/>
    <w:rsid w:val="004E0F62"/>
    <w:rsid w:val="004E14CC"/>
    <w:rsid w:val="004E171A"/>
    <w:rsid w:val="004E1726"/>
    <w:rsid w:val="004E1789"/>
    <w:rsid w:val="004E17DF"/>
    <w:rsid w:val="004E192D"/>
    <w:rsid w:val="004E20FC"/>
    <w:rsid w:val="004E29FC"/>
    <w:rsid w:val="004E2A2A"/>
    <w:rsid w:val="004E2F07"/>
    <w:rsid w:val="004E3573"/>
    <w:rsid w:val="004E3899"/>
    <w:rsid w:val="004E3E7D"/>
    <w:rsid w:val="004E4478"/>
    <w:rsid w:val="004E4521"/>
    <w:rsid w:val="004E48CB"/>
    <w:rsid w:val="004E51F7"/>
    <w:rsid w:val="004E54E8"/>
    <w:rsid w:val="004E5847"/>
    <w:rsid w:val="004E684B"/>
    <w:rsid w:val="004E7307"/>
    <w:rsid w:val="004E7E4B"/>
    <w:rsid w:val="004F0680"/>
    <w:rsid w:val="004F06B0"/>
    <w:rsid w:val="004F071B"/>
    <w:rsid w:val="004F0FFF"/>
    <w:rsid w:val="004F142B"/>
    <w:rsid w:val="004F15C3"/>
    <w:rsid w:val="004F16B8"/>
    <w:rsid w:val="004F18F6"/>
    <w:rsid w:val="004F224A"/>
    <w:rsid w:val="004F26A4"/>
    <w:rsid w:val="004F2984"/>
    <w:rsid w:val="004F3591"/>
    <w:rsid w:val="004F36C4"/>
    <w:rsid w:val="004F37A5"/>
    <w:rsid w:val="004F3E03"/>
    <w:rsid w:val="004F41CA"/>
    <w:rsid w:val="004F435D"/>
    <w:rsid w:val="004F43B8"/>
    <w:rsid w:val="004F47B8"/>
    <w:rsid w:val="004F4D24"/>
    <w:rsid w:val="004F4DEB"/>
    <w:rsid w:val="004F4F1F"/>
    <w:rsid w:val="004F5125"/>
    <w:rsid w:val="004F57D7"/>
    <w:rsid w:val="004F580B"/>
    <w:rsid w:val="004F5B77"/>
    <w:rsid w:val="004F6127"/>
    <w:rsid w:val="004F6988"/>
    <w:rsid w:val="004F6D83"/>
    <w:rsid w:val="004F6F70"/>
    <w:rsid w:val="004F70EA"/>
    <w:rsid w:val="004F72AF"/>
    <w:rsid w:val="004F7788"/>
    <w:rsid w:val="004F7F70"/>
    <w:rsid w:val="00500298"/>
    <w:rsid w:val="005016BF"/>
    <w:rsid w:val="005019BC"/>
    <w:rsid w:val="00501CB0"/>
    <w:rsid w:val="00501D9D"/>
    <w:rsid w:val="00501F20"/>
    <w:rsid w:val="005024C8"/>
    <w:rsid w:val="00502528"/>
    <w:rsid w:val="005025BA"/>
    <w:rsid w:val="00502F28"/>
    <w:rsid w:val="0050364A"/>
    <w:rsid w:val="00503C35"/>
    <w:rsid w:val="00503F64"/>
    <w:rsid w:val="00506653"/>
    <w:rsid w:val="005067E5"/>
    <w:rsid w:val="005068FF"/>
    <w:rsid w:val="00506BED"/>
    <w:rsid w:val="00506EAB"/>
    <w:rsid w:val="0050776E"/>
    <w:rsid w:val="005078BF"/>
    <w:rsid w:val="005079A7"/>
    <w:rsid w:val="0051019E"/>
    <w:rsid w:val="0051025A"/>
    <w:rsid w:val="00510967"/>
    <w:rsid w:val="00510C96"/>
    <w:rsid w:val="00511055"/>
    <w:rsid w:val="005114CD"/>
    <w:rsid w:val="00511C02"/>
    <w:rsid w:val="00511CCF"/>
    <w:rsid w:val="00511DFF"/>
    <w:rsid w:val="00512487"/>
    <w:rsid w:val="005124CF"/>
    <w:rsid w:val="00512791"/>
    <w:rsid w:val="00512881"/>
    <w:rsid w:val="00512BAE"/>
    <w:rsid w:val="00513133"/>
    <w:rsid w:val="00513403"/>
    <w:rsid w:val="005139D2"/>
    <w:rsid w:val="00513C2C"/>
    <w:rsid w:val="00513CD0"/>
    <w:rsid w:val="00513E03"/>
    <w:rsid w:val="005143A9"/>
    <w:rsid w:val="00514BDB"/>
    <w:rsid w:val="00514C08"/>
    <w:rsid w:val="005155B1"/>
    <w:rsid w:val="00515627"/>
    <w:rsid w:val="0051595E"/>
    <w:rsid w:val="005159B8"/>
    <w:rsid w:val="005162E7"/>
    <w:rsid w:val="00516765"/>
    <w:rsid w:val="00516B55"/>
    <w:rsid w:val="00516B91"/>
    <w:rsid w:val="005172BB"/>
    <w:rsid w:val="00517427"/>
    <w:rsid w:val="005176DA"/>
    <w:rsid w:val="00517789"/>
    <w:rsid w:val="0052021D"/>
    <w:rsid w:val="0052182A"/>
    <w:rsid w:val="005218F2"/>
    <w:rsid w:val="00521B58"/>
    <w:rsid w:val="005222D4"/>
    <w:rsid w:val="00522325"/>
    <w:rsid w:val="005223A0"/>
    <w:rsid w:val="0052251D"/>
    <w:rsid w:val="00522C79"/>
    <w:rsid w:val="00523196"/>
    <w:rsid w:val="005233AC"/>
    <w:rsid w:val="005236D6"/>
    <w:rsid w:val="00524BC1"/>
    <w:rsid w:val="00524D34"/>
    <w:rsid w:val="005253E5"/>
    <w:rsid w:val="005256C2"/>
    <w:rsid w:val="00525A34"/>
    <w:rsid w:val="00526206"/>
    <w:rsid w:val="00526A20"/>
    <w:rsid w:val="00526D56"/>
    <w:rsid w:val="00526E6D"/>
    <w:rsid w:val="00527094"/>
    <w:rsid w:val="005270E8"/>
    <w:rsid w:val="0052710A"/>
    <w:rsid w:val="00527127"/>
    <w:rsid w:val="00530F70"/>
    <w:rsid w:val="005320F0"/>
    <w:rsid w:val="00532536"/>
    <w:rsid w:val="005327D5"/>
    <w:rsid w:val="005328E1"/>
    <w:rsid w:val="0053297F"/>
    <w:rsid w:val="005329F9"/>
    <w:rsid w:val="00532E7C"/>
    <w:rsid w:val="00532F62"/>
    <w:rsid w:val="00532F73"/>
    <w:rsid w:val="0053333E"/>
    <w:rsid w:val="00533B93"/>
    <w:rsid w:val="00533C9D"/>
    <w:rsid w:val="00534010"/>
    <w:rsid w:val="0053431A"/>
    <w:rsid w:val="005349D0"/>
    <w:rsid w:val="00535215"/>
    <w:rsid w:val="00535233"/>
    <w:rsid w:val="005353DF"/>
    <w:rsid w:val="00535421"/>
    <w:rsid w:val="005356EC"/>
    <w:rsid w:val="00535728"/>
    <w:rsid w:val="0053583B"/>
    <w:rsid w:val="00535930"/>
    <w:rsid w:val="00535B53"/>
    <w:rsid w:val="00535C92"/>
    <w:rsid w:val="00535D42"/>
    <w:rsid w:val="00536116"/>
    <w:rsid w:val="00536779"/>
    <w:rsid w:val="00536B70"/>
    <w:rsid w:val="00536B86"/>
    <w:rsid w:val="00536EE9"/>
    <w:rsid w:val="00536F73"/>
    <w:rsid w:val="005375FC"/>
    <w:rsid w:val="0053794F"/>
    <w:rsid w:val="00537DA7"/>
    <w:rsid w:val="00540144"/>
    <w:rsid w:val="0054051B"/>
    <w:rsid w:val="00540975"/>
    <w:rsid w:val="00540999"/>
    <w:rsid w:val="005411AE"/>
    <w:rsid w:val="005412B6"/>
    <w:rsid w:val="00541B02"/>
    <w:rsid w:val="00541EAE"/>
    <w:rsid w:val="00542161"/>
    <w:rsid w:val="005421C4"/>
    <w:rsid w:val="005422DE"/>
    <w:rsid w:val="00542C6A"/>
    <w:rsid w:val="00542E3C"/>
    <w:rsid w:val="00542F0E"/>
    <w:rsid w:val="0054327C"/>
    <w:rsid w:val="00543A58"/>
    <w:rsid w:val="00543F50"/>
    <w:rsid w:val="00544266"/>
    <w:rsid w:val="0054428C"/>
    <w:rsid w:val="00544424"/>
    <w:rsid w:val="00544EDC"/>
    <w:rsid w:val="00544F44"/>
    <w:rsid w:val="005453B6"/>
    <w:rsid w:val="00545519"/>
    <w:rsid w:val="00545A1D"/>
    <w:rsid w:val="00546057"/>
    <w:rsid w:val="005462FB"/>
    <w:rsid w:val="005468C0"/>
    <w:rsid w:val="00546C0B"/>
    <w:rsid w:val="00546CCC"/>
    <w:rsid w:val="0054704C"/>
    <w:rsid w:val="005473E6"/>
    <w:rsid w:val="00550347"/>
    <w:rsid w:val="005503A7"/>
    <w:rsid w:val="00550793"/>
    <w:rsid w:val="005508E5"/>
    <w:rsid w:val="00550A6A"/>
    <w:rsid w:val="00551196"/>
    <w:rsid w:val="00551226"/>
    <w:rsid w:val="00551612"/>
    <w:rsid w:val="00551830"/>
    <w:rsid w:val="00551BF8"/>
    <w:rsid w:val="005520ED"/>
    <w:rsid w:val="005523E1"/>
    <w:rsid w:val="005527F7"/>
    <w:rsid w:val="00552ABC"/>
    <w:rsid w:val="0055318D"/>
    <w:rsid w:val="005532A5"/>
    <w:rsid w:val="00553D20"/>
    <w:rsid w:val="00554888"/>
    <w:rsid w:val="00554EFC"/>
    <w:rsid w:val="00555006"/>
    <w:rsid w:val="00555901"/>
    <w:rsid w:val="0055607D"/>
    <w:rsid w:val="00556938"/>
    <w:rsid w:val="005569B6"/>
    <w:rsid w:val="00556A3A"/>
    <w:rsid w:val="00557158"/>
    <w:rsid w:val="005574EA"/>
    <w:rsid w:val="005579D7"/>
    <w:rsid w:val="00557E04"/>
    <w:rsid w:val="00557F87"/>
    <w:rsid w:val="00560F3C"/>
    <w:rsid w:val="005614C0"/>
    <w:rsid w:val="005616A4"/>
    <w:rsid w:val="00561781"/>
    <w:rsid w:val="005619A7"/>
    <w:rsid w:val="00562099"/>
    <w:rsid w:val="005624F9"/>
    <w:rsid w:val="005625AA"/>
    <w:rsid w:val="005628FD"/>
    <w:rsid w:val="005629E7"/>
    <w:rsid w:val="00562D81"/>
    <w:rsid w:val="00563104"/>
    <w:rsid w:val="0056403E"/>
    <w:rsid w:val="00564C93"/>
    <w:rsid w:val="00564F4C"/>
    <w:rsid w:val="00565AC0"/>
    <w:rsid w:val="00565C99"/>
    <w:rsid w:val="00565E35"/>
    <w:rsid w:val="00566073"/>
    <w:rsid w:val="005664BE"/>
    <w:rsid w:val="00566A63"/>
    <w:rsid w:val="00566A81"/>
    <w:rsid w:val="00566DC8"/>
    <w:rsid w:val="00566F30"/>
    <w:rsid w:val="00566F7A"/>
    <w:rsid w:val="00567696"/>
    <w:rsid w:val="00567BD8"/>
    <w:rsid w:val="00567F9D"/>
    <w:rsid w:val="0057023B"/>
    <w:rsid w:val="005702FB"/>
    <w:rsid w:val="00570B8D"/>
    <w:rsid w:val="005710AC"/>
    <w:rsid w:val="005712B1"/>
    <w:rsid w:val="0057144F"/>
    <w:rsid w:val="00571504"/>
    <w:rsid w:val="00571620"/>
    <w:rsid w:val="0057169D"/>
    <w:rsid w:val="00571C7A"/>
    <w:rsid w:val="00571EB7"/>
    <w:rsid w:val="00572194"/>
    <w:rsid w:val="005724F1"/>
    <w:rsid w:val="0057267C"/>
    <w:rsid w:val="005727E6"/>
    <w:rsid w:val="00572C84"/>
    <w:rsid w:val="0057370B"/>
    <w:rsid w:val="005739C9"/>
    <w:rsid w:val="005739E0"/>
    <w:rsid w:val="00573BBF"/>
    <w:rsid w:val="00573FCC"/>
    <w:rsid w:val="00574248"/>
    <w:rsid w:val="00574423"/>
    <w:rsid w:val="0057443A"/>
    <w:rsid w:val="00574EB4"/>
    <w:rsid w:val="00575034"/>
    <w:rsid w:val="005750F1"/>
    <w:rsid w:val="00575456"/>
    <w:rsid w:val="00575553"/>
    <w:rsid w:val="00575CF7"/>
    <w:rsid w:val="00576925"/>
    <w:rsid w:val="00576A3B"/>
    <w:rsid w:val="00576FCC"/>
    <w:rsid w:val="00577046"/>
    <w:rsid w:val="00577D1B"/>
    <w:rsid w:val="00580465"/>
    <w:rsid w:val="00580ACD"/>
    <w:rsid w:val="005817F4"/>
    <w:rsid w:val="005824AA"/>
    <w:rsid w:val="005826BB"/>
    <w:rsid w:val="00582AA7"/>
    <w:rsid w:val="00582C16"/>
    <w:rsid w:val="00582DD5"/>
    <w:rsid w:val="00582E07"/>
    <w:rsid w:val="005841B1"/>
    <w:rsid w:val="0058490B"/>
    <w:rsid w:val="005849BE"/>
    <w:rsid w:val="00584E9D"/>
    <w:rsid w:val="00585065"/>
    <w:rsid w:val="00585178"/>
    <w:rsid w:val="00585501"/>
    <w:rsid w:val="0058581C"/>
    <w:rsid w:val="00586EA0"/>
    <w:rsid w:val="00586F95"/>
    <w:rsid w:val="005871AD"/>
    <w:rsid w:val="00587B79"/>
    <w:rsid w:val="00590054"/>
    <w:rsid w:val="00590458"/>
    <w:rsid w:val="00590872"/>
    <w:rsid w:val="00590C1E"/>
    <w:rsid w:val="00590D07"/>
    <w:rsid w:val="00590F62"/>
    <w:rsid w:val="0059115C"/>
    <w:rsid w:val="0059154A"/>
    <w:rsid w:val="00591FE5"/>
    <w:rsid w:val="005921BF"/>
    <w:rsid w:val="005929FF"/>
    <w:rsid w:val="00592ACB"/>
    <w:rsid w:val="00592B46"/>
    <w:rsid w:val="0059340B"/>
    <w:rsid w:val="00593A14"/>
    <w:rsid w:val="00593E04"/>
    <w:rsid w:val="00594129"/>
    <w:rsid w:val="00594868"/>
    <w:rsid w:val="00594BE6"/>
    <w:rsid w:val="00594FD2"/>
    <w:rsid w:val="0059532E"/>
    <w:rsid w:val="005953AC"/>
    <w:rsid w:val="005959F1"/>
    <w:rsid w:val="00596030"/>
    <w:rsid w:val="005960D4"/>
    <w:rsid w:val="00596220"/>
    <w:rsid w:val="005962DF"/>
    <w:rsid w:val="005962FF"/>
    <w:rsid w:val="005967EF"/>
    <w:rsid w:val="005974B1"/>
    <w:rsid w:val="00597878"/>
    <w:rsid w:val="00597ABB"/>
    <w:rsid w:val="00597EB5"/>
    <w:rsid w:val="005A0049"/>
    <w:rsid w:val="005A011C"/>
    <w:rsid w:val="005A075E"/>
    <w:rsid w:val="005A0A3B"/>
    <w:rsid w:val="005A0F9F"/>
    <w:rsid w:val="005A1482"/>
    <w:rsid w:val="005A16BE"/>
    <w:rsid w:val="005A1A50"/>
    <w:rsid w:val="005A1E79"/>
    <w:rsid w:val="005A1E94"/>
    <w:rsid w:val="005A235E"/>
    <w:rsid w:val="005A2599"/>
    <w:rsid w:val="005A27AC"/>
    <w:rsid w:val="005A27DF"/>
    <w:rsid w:val="005A2D22"/>
    <w:rsid w:val="005A2F58"/>
    <w:rsid w:val="005A3443"/>
    <w:rsid w:val="005A34D9"/>
    <w:rsid w:val="005A387F"/>
    <w:rsid w:val="005A3D8A"/>
    <w:rsid w:val="005A457A"/>
    <w:rsid w:val="005A47C8"/>
    <w:rsid w:val="005A4854"/>
    <w:rsid w:val="005A4B42"/>
    <w:rsid w:val="005A4E49"/>
    <w:rsid w:val="005A4EFB"/>
    <w:rsid w:val="005A520F"/>
    <w:rsid w:val="005A5689"/>
    <w:rsid w:val="005A568C"/>
    <w:rsid w:val="005A591D"/>
    <w:rsid w:val="005A5EA9"/>
    <w:rsid w:val="005A6AB1"/>
    <w:rsid w:val="005A6AD7"/>
    <w:rsid w:val="005A6C01"/>
    <w:rsid w:val="005A6DDE"/>
    <w:rsid w:val="005A7355"/>
    <w:rsid w:val="005A7438"/>
    <w:rsid w:val="005A7681"/>
    <w:rsid w:val="005A797B"/>
    <w:rsid w:val="005A7D4A"/>
    <w:rsid w:val="005B01A6"/>
    <w:rsid w:val="005B0A75"/>
    <w:rsid w:val="005B17B4"/>
    <w:rsid w:val="005B1A7B"/>
    <w:rsid w:val="005B1AD5"/>
    <w:rsid w:val="005B1FAC"/>
    <w:rsid w:val="005B1FC3"/>
    <w:rsid w:val="005B1FDF"/>
    <w:rsid w:val="005B27EE"/>
    <w:rsid w:val="005B2A9B"/>
    <w:rsid w:val="005B2B0A"/>
    <w:rsid w:val="005B2DE3"/>
    <w:rsid w:val="005B307A"/>
    <w:rsid w:val="005B3246"/>
    <w:rsid w:val="005B3830"/>
    <w:rsid w:val="005B4687"/>
    <w:rsid w:val="005B4FD0"/>
    <w:rsid w:val="005B5217"/>
    <w:rsid w:val="005B55D9"/>
    <w:rsid w:val="005B5773"/>
    <w:rsid w:val="005B5881"/>
    <w:rsid w:val="005B5DAB"/>
    <w:rsid w:val="005B617B"/>
    <w:rsid w:val="005B63E2"/>
    <w:rsid w:val="005B6B76"/>
    <w:rsid w:val="005B6C2D"/>
    <w:rsid w:val="005B6CCF"/>
    <w:rsid w:val="005B6D2C"/>
    <w:rsid w:val="005B7042"/>
    <w:rsid w:val="005B7863"/>
    <w:rsid w:val="005B78C6"/>
    <w:rsid w:val="005B7BE8"/>
    <w:rsid w:val="005B7C56"/>
    <w:rsid w:val="005C0188"/>
    <w:rsid w:val="005C0FC7"/>
    <w:rsid w:val="005C12F2"/>
    <w:rsid w:val="005C197F"/>
    <w:rsid w:val="005C1EA8"/>
    <w:rsid w:val="005C1F99"/>
    <w:rsid w:val="005C2159"/>
    <w:rsid w:val="005C2419"/>
    <w:rsid w:val="005C29DE"/>
    <w:rsid w:val="005C3825"/>
    <w:rsid w:val="005C4C41"/>
    <w:rsid w:val="005C54C6"/>
    <w:rsid w:val="005C551B"/>
    <w:rsid w:val="005C5BF2"/>
    <w:rsid w:val="005C61DB"/>
    <w:rsid w:val="005C66A9"/>
    <w:rsid w:val="005C6878"/>
    <w:rsid w:val="005C71B9"/>
    <w:rsid w:val="005C71FF"/>
    <w:rsid w:val="005C7BE9"/>
    <w:rsid w:val="005C7CB5"/>
    <w:rsid w:val="005C7CF0"/>
    <w:rsid w:val="005D0374"/>
    <w:rsid w:val="005D04B4"/>
    <w:rsid w:val="005D0936"/>
    <w:rsid w:val="005D0EF4"/>
    <w:rsid w:val="005D166F"/>
    <w:rsid w:val="005D2565"/>
    <w:rsid w:val="005D2AED"/>
    <w:rsid w:val="005D2BB0"/>
    <w:rsid w:val="005D34E6"/>
    <w:rsid w:val="005D35AF"/>
    <w:rsid w:val="005D3983"/>
    <w:rsid w:val="005D3C57"/>
    <w:rsid w:val="005D4203"/>
    <w:rsid w:val="005D4930"/>
    <w:rsid w:val="005D4E0F"/>
    <w:rsid w:val="005D50E7"/>
    <w:rsid w:val="005D5294"/>
    <w:rsid w:val="005D52DE"/>
    <w:rsid w:val="005D53B1"/>
    <w:rsid w:val="005D5A3E"/>
    <w:rsid w:val="005D604D"/>
    <w:rsid w:val="005D6BDC"/>
    <w:rsid w:val="005D73A3"/>
    <w:rsid w:val="005D7F47"/>
    <w:rsid w:val="005E044F"/>
    <w:rsid w:val="005E0577"/>
    <w:rsid w:val="005E08BE"/>
    <w:rsid w:val="005E0DC3"/>
    <w:rsid w:val="005E0DF4"/>
    <w:rsid w:val="005E10A3"/>
    <w:rsid w:val="005E1386"/>
    <w:rsid w:val="005E1607"/>
    <w:rsid w:val="005E1847"/>
    <w:rsid w:val="005E241D"/>
    <w:rsid w:val="005E25D0"/>
    <w:rsid w:val="005E2733"/>
    <w:rsid w:val="005E2BD4"/>
    <w:rsid w:val="005E2CED"/>
    <w:rsid w:val="005E2F41"/>
    <w:rsid w:val="005E308A"/>
    <w:rsid w:val="005E3170"/>
    <w:rsid w:val="005E33FC"/>
    <w:rsid w:val="005E3725"/>
    <w:rsid w:val="005E3733"/>
    <w:rsid w:val="005E3798"/>
    <w:rsid w:val="005E3867"/>
    <w:rsid w:val="005E3B22"/>
    <w:rsid w:val="005E47EE"/>
    <w:rsid w:val="005E49D3"/>
    <w:rsid w:val="005E4BE4"/>
    <w:rsid w:val="005E507B"/>
    <w:rsid w:val="005E5402"/>
    <w:rsid w:val="005E540F"/>
    <w:rsid w:val="005E59D2"/>
    <w:rsid w:val="005E5ADF"/>
    <w:rsid w:val="005E6802"/>
    <w:rsid w:val="005E682C"/>
    <w:rsid w:val="005E6F7F"/>
    <w:rsid w:val="005F0358"/>
    <w:rsid w:val="005F03B0"/>
    <w:rsid w:val="005F05B3"/>
    <w:rsid w:val="005F076A"/>
    <w:rsid w:val="005F0E7B"/>
    <w:rsid w:val="005F1074"/>
    <w:rsid w:val="005F137C"/>
    <w:rsid w:val="005F1466"/>
    <w:rsid w:val="005F1707"/>
    <w:rsid w:val="005F23C6"/>
    <w:rsid w:val="005F242A"/>
    <w:rsid w:val="005F2554"/>
    <w:rsid w:val="005F2923"/>
    <w:rsid w:val="005F2A69"/>
    <w:rsid w:val="005F2EFC"/>
    <w:rsid w:val="005F361C"/>
    <w:rsid w:val="005F38E9"/>
    <w:rsid w:val="005F3C7E"/>
    <w:rsid w:val="005F3F54"/>
    <w:rsid w:val="005F4241"/>
    <w:rsid w:val="005F4B17"/>
    <w:rsid w:val="005F4E58"/>
    <w:rsid w:val="005F5518"/>
    <w:rsid w:val="005F6427"/>
    <w:rsid w:val="005F65A7"/>
    <w:rsid w:val="005F75AB"/>
    <w:rsid w:val="005F7809"/>
    <w:rsid w:val="005F799C"/>
    <w:rsid w:val="005F7EFC"/>
    <w:rsid w:val="006003A1"/>
    <w:rsid w:val="0060054B"/>
    <w:rsid w:val="006009E2"/>
    <w:rsid w:val="00600CEC"/>
    <w:rsid w:val="006011F5"/>
    <w:rsid w:val="006013EA"/>
    <w:rsid w:val="00601454"/>
    <w:rsid w:val="00601666"/>
    <w:rsid w:val="00601B78"/>
    <w:rsid w:val="00601EF0"/>
    <w:rsid w:val="00601FF2"/>
    <w:rsid w:val="00602309"/>
    <w:rsid w:val="00602425"/>
    <w:rsid w:val="0060263F"/>
    <w:rsid w:val="00602642"/>
    <w:rsid w:val="00602AE2"/>
    <w:rsid w:val="00602B11"/>
    <w:rsid w:val="00602E15"/>
    <w:rsid w:val="00602EB7"/>
    <w:rsid w:val="0060320F"/>
    <w:rsid w:val="0060376C"/>
    <w:rsid w:val="006037D1"/>
    <w:rsid w:val="006046BC"/>
    <w:rsid w:val="00604B39"/>
    <w:rsid w:val="0060529A"/>
    <w:rsid w:val="00605F02"/>
    <w:rsid w:val="00606034"/>
    <w:rsid w:val="006061F3"/>
    <w:rsid w:val="0060658A"/>
    <w:rsid w:val="006066AD"/>
    <w:rsid w:val="006066BC"/>
    <w:rsid w:val="0060670E"/>
    <w:rsid w:val="00606B92"/>
    <w:rsid w:val="00606BEE"/>
    <w:rsid w:val="006071F9"/>
    <w:rsid w:val="0060726E"/>
    <w:rsid w:val="006073E9"/>
    <w:rsid w:val="006102E3"/>
    <w:rsid w:val="0061063D"/>
    <w:rsid w:val="00610FB7"/>
    <w:rsid w:val="00611078"/>
    <w:rsid w:val="00611158"/>
    <w:rsid w:val="006116DA"/>
    <w:rsid w:val="00611A34"/>
    <w:rsid w:val="00611FB3"/>
    <w:rsid w:val="00612036"/>
    <w:rsid w:val="006120D3"/>
    <w:rsid w:val="00612BDB"/>
    <w:rsid w:val="00612EF0"/>
    <w:rsid w:val="00612F39"/>
    <w:rsid w:val="00613353"/>
    <w:rsid w:val="00613698"/>
    <w:rsid w:val="00613D47"/>
    <w:rsid w:val="006140EE"/>
    <w:rsid w:val="0061449A"/>
    <w:rsid w:val="00614558"/>
    <w:rsid w:val="00614560"/>
    <w:rsid w:val="006149CD"/>
    <w:rsid w:val="0061508D"/>
    <w:rsid w:val="006151FB"/>
    <w:rsid w:val="006156F0"/>
    <w:rsid w:val="00615AA0"/>
    <w:rsid w:val="006160E8"/>
    <w:rsid w:val="00616244"/>
    <w:rsid w:val="0061745C"/>
    <w:rsid w:val="0061761A"/>
    <w:rsid w:val="0062020D"/>
    <w:rsid w:val="00620729"/>
    <w:rsid w:val="00620BB6"/>
    <w:rsid w:val="00620C07"/>
    <w:rsid w:val="00620D1E"/>
    <w:rsid w:val="00621361"/>
    <w:rsid w:val="00621386"/>
    <w:rsid w:val="006215B5"/>
    <w:rsid w:val="0062186E"/>
    <w:rsid w:val="006218E4"/>
    <w:rsid w:val="00621BF3"/>
    <w:rsid w:val="00622B3C"/>
    <w:rsid w:val="0062381E"/>
    <w:rsid w:val="00623992"/>
    <w:rsid w:val="0062442F"/>
    <w:rsid w:val="00624561"/>
    <w:rsid w:val="00624A6D"/>
    <w:rsid w:val="00624FD8"/>
    <w:rsid w:val="006257ED"/>
    <w:rsid w:val="0062594A"/>
    <w:rsid w:val="00626392"/>
    <w:rsid w:val="00626599"/>
    <w:rsid w:val="006266C6"/>
    <w:rsid w:val="00626D0A"/>
    <w:rsid w:val="00626DAB"/>
    <w:rsid w:val="00626E87"/>
    <w:rsid w:val="00627255"/>
    <w:rsid w:val="006273D1"/>
    <w:rsid w:val="006303DD"/>
    <w:rsid w:val="00630B80"/>
    <w:rsid w:val="00630CD8"/>
    <w:rsid w:val="0063109C"/>
    <w:rsid w:val="00631171"/>
    <w:rsid w:val="00631960"/>
    <w:rsid w:val="00631A46"/>
    <w:rsid w:val="00631B3D"/>
    <w:rsid w:val="0063209B"/>
    <w:rsid w:val="00632925"/>
    <w:rsid w:val="00633088"/>
    <w:rsid w:val="00633BCD"/>
    <w:rsid w:val="00634636"/>
    <w:rsid w:val="0063471F"/>
    <w:rsid w:val="00634CE2"/>
    <w:rsid w:val="00635047"/>
    <w:rsid w:val="00635925"/>
    <w:rsid w:val="00635985"/>
    <w:rsid w:val="00635DA7"/>
    <w:rsid w:val="00635EB3"/>
    <w:rsid w:val="00636296"/>
    <w:rsid w:val="00636301"/>
    <w:rsid w:val="006365DC"/>
    <w:rsid w:val="00636C12"/>
    <w:rsid w:val="00636F25"/>
    <w:rsid w:val="00637545"/>
    <w:rsid w:val="00637DC0"/>
    <w:rsid w:val="006403A3"/>
    <w:rsid w:val="00640707"/>
    <w:rsid w:val="0064079B"/>
    <w:rsid w:val="00640BEC"/>
    <w:rsid w:val="00640D27"/>
    <w:rsid w:val="0064109B"/>
    <w:rsid w:val="006411DF"/>
    <w:rsid w:val="006419BD"/>
    <w:rsid w:val="00641DDC"/>
    <w:rsid w:val="006433E1"/>
    <w:rsid w:val="00643FCE"/>
    <w:rsid w:val="00644AD6"/>
    <w:rsid w:val="006455EA"/>
    <w:rsid w:val="0064601E"/>
    <w:rsid w:val="00646342"/>
    <w:rsid w:val="006468FE"/>
    <w:rsid w:val="006469C8"/>
    <w:rsid w:val="006471F2"/>
    <w:rsid w:val="00647C70"/>
    <w:rsid w:val="00651099"/>
    <w:rsid w:val="00651238"/>
    <w:rsid w:val="00651781"/>
    <w:rsid w:val="00651802"/>
    <w:rsid w:val="00651AC2"/>
    <w:rsid w:val="00651DC9"/>
    <w:rsid w:val="00651DE8"/>
    <w:rsid w:val="006522EE"/>
    <w:rsid w:val="00652322"/>
    <w:rsid w:val="00652335"/>
    <w:rsid w:val="006530D1"/>
    <w:rsid w:val="00653336"/>
    <w:rsid w:val="006534DD"/>
    <w:rsid w:val="00653C08"/>
    <w:rsid w:val="006544CF"/>
    <w:rsid w:val="006544FD"/>
    <w:rsid w:val="00654AE1"/>
    <w:rsid w:val="0065501E"/>
    <w:rsid w:val="006559BC"/>
    <w:rsid w:val="00655BD7"/>
    <w:rsid w:val="00655F2E"/>
    <w:rsid w:val="006563F7"/>
    <w:rsid w:val="00656D62"/>
    <w:rsid w:val="00657737"/>
    <w:rsid w:val="00657A30"/>
    <w:rsid w:val="00657A51"/>
    <w:rsid w:val="00657E55"/>
    <w:rsid w:val="0066010B"/>
    <w:rsid w:val="0066033C"/>
    <w:rsid w:val="0066099A"/>
    <w:rsid w:val="00660D8C"/>
    <w:rsid w:val="006612AF"/>
    <w:rsid w:val="00661337"/>
    <w:rsid w:val="006617AA"/>
    <w:rsid w:val="006618F0"/>
    <w:rsid w:val="00661AA1"/>
    <w:rsid w:val="0066437B"/>
    <w:rsid w:val="0066495B"/>
    <w:rsid w:val="006649C1"/>
    <w:rsid w:val="006649C9"/>
    <w:rsid w:val="006655D0"/>
    <w:rsid w:val="00665736"/>
    <w:rsid w:val="006659BC"/>
    <w:rsid w:val="00665B54"/>
    <w:rsid w:val="00665B7C"/>
    <w:rsid w:val="00665DD8"/>
    <w:rsid w:val="00665ED5"/>
    <w:rsid w:val="006662F8"/>
    <w:rsid w:val="00666569"/>
    <w:rsid w:val="00666867"/>
    <w:rsid w:val="00666A57"/>
    <w:rsid w:val="00667049"/>
    <w:rsid w:val="00667143"/>
    <w:rsid w:val="006672D2"/>
    <w:rsid w:val="0066735C"/>
    <w:rsid w:val="00667691"/>
    <w:rsid w:val="00667757"/>
    <w:rsid w:val="00667929"/>
    <w:rsid w:val="00667DB7"/>
    <w:rsid w:val="006701C7"/>
    <w:rsid w:val="0067048B"/>
    <w:rsid w:val="0067155D"/>
    <w:rsid w:val="006716C8"/>
    <w:rsid w:val="006718C7"/>
    <w:rsid w:val="00671DD3"/>
    <w:rsid w:val="0067231A"/>
    <w:rsid w:val="00672755"/>
    <w:rsid w:val="00672A78"/>
    <w:rsid w:val="00673195"/>
    <w:rsid w:val="0067328A"/>
    <w:rsid w:val="006734D6"/>
    <w:rsid w:val="00673644"/>
    <w:rsid w:val="00673654"/>
    <w:rsid w:val="006739A8"/>
    <w:rsid w:val="00673E3A"/>
    <w:rsid w:val="00674219"/>
    <w:rsid w:val="006745F2"/>
    <w:rsid w:val="006745F4"/>
    <w:rsid w:val="00674632"/>
    <w:rsid w:val="00674B00"/>
    <w:rsid w:val="006758DE"/>
    <w:rsid w:val="0067599A"/>
    <w:rsid w:val="006759B7"/>
    <w:rsid w:val="00676016"/>
    <w:rsid w:val="00676622"/>
    <w:rsid w:val="006768DB"/>
    <w:rsid w:val="00676930"/>
    <w:rsid w:val="00676C1F"/>
    <w:rsid w:val="00677111"/>
    <w:rsid w:val="006778F2"/>
    <w:rsid w:val="00677B27"/>
    <w:rsid w:val="00680080"/>
    <w:rsid w:val="00680585"/>
    <w:rsid w:val="006806B0"/>
    <w:rsid w:val="00680735"/>
    <w:rsid w:val="00680899"/>
    <w:rsid w:val="00680A1A"/>
    <w:rsid w:val="00680A57"/>
    <w:rsid w:val="00680E2D"/>
    <w:rsid w:val="00681008"/>
    <w:rsid w:val="00681732"/>
    <w:rsid w:val="00681759"/>
    <w:rsid w:val="006818BE"/>
    <w:rsid w:val="00681C75"/>
    <w:rsid w:val="00681D53"/>
    <w:rsid w:val="006821CF"/>
    <w:rsid w:val="006825FF"/>
    <w:rsid w:val="00682ACB"/>
    <w:rsid w:val="006830B5"/>
    <w:rsid w:val="0068343B"/>
    <w:rsid w:val="00683843"/>
    <w:rsid w:val="00683F9E"/>
    <w:rsid w:val="006842C2"/>
    <w:rsid w:val="00684B26"/>
    <w:rsid w:val="00684C81"/>
    <w:rsid w:val="00685068"/>
    <w:rsid w:val="006858D3"/>
    <w:rsid w:val="00685915"/>
    <w:rsid w:val="0068598F"/>
    <w:rsid w:val="00685E28"/>
    <w:rsid w:val="00685FBA"/>
    <w:rsid w:val="006867D5"/>
    <w:rsid w:val="006867FA"/>
    <w:rsid w:val="00686F5C"/>
    <w:rsid w:val="00687582"/>
    <w:rsid w:val="00687759"/>
    <w:rsid w:val="00687A0C"/>
    <w:rsid w:val="00687AE3"/>
    <w:rsid w:val="00687D6F"/>
    <w:rsid w:val="00687DE6"/>
    <w:rsid w:val="006901F6"/>
    <w:rsid w:val="00690536"/>
    <w:rsid w:val="00690B90"/>
    <w:rsid w:val="0069105C"/>
    <w:rsid w:val="006914B9"/>
    <w:rsid w:val="006914CE"/>
    <w:rsid w:val="006920A9"/>
    <w:rsid w:val="00692922"/>
    <w:rsid w:val="00692D18"/>
    <w:rsid w:val="006930AD"/>
    <w:rsid w:val="00693320"/>
    <w:rsid w:val="00693846"/>
    <w:rsid w:val="006938F2"/>
    <w:rsid w:val="00693AE3"/>
    <w:rsid w:val="006942E8"/>
    <w:rsid w:val="0069433B"/>
    <w:rsid w:val="006943C7"/>
    <w:rsid w:val="006944B2"/>
    <w:rsid w:val="00694650"/>
    <w:rsid w:val="00694C83"/>
    <w:rsid w:val="006950CE"/>
    <w:rsid w:val="0069525B"/>
    <w:rsid w:val="0069535D"/>
    <w:rsid w:val="006955F4"/>
    <w:rsid w:val="00695632"/>
    <w:rsid w:val="00695A08"/>
    <w:rsid w:val="00695BED"/>
    <w:rsid w:val="00695FD4"/>
    <w:rsid w:val="0069605C"/>
    <w:rsid w:val="006963BA"/>
    <w:rsid w:val="00696CFF"/>
    <w:rsid w:val="006971B9"/>
    <w:rsid w:val="00697B8A"/>
    <w:rsid w:val="00697D6A"/>
    <w:rsid w:val="00697F92"/>
    <w:rsid w:val="006A00AF"/>
    <w:rsid w:val="006A05D0"/>
    <w:rsid w:val="006A0967"/>
    <w:rsid w:val="006A0F60"/>
    <w:rsid w:val="006A12AA"/>
    <w:rsid w:val="006A18B7"/>
    <w:rsid w:val="006A1EAC"/>
    <w:rsid w:val="006A20A0"/>
    <w:rsid w:val="006A25EA"/>
    <w:rsid w:val="006A2AA2"/>
    <w:rsid w:val="006A2B96"/>
    <w:rsid w:val="006A2CF5"/>
    <w:rsid w:val="006A2E8D"/>
    <w:rsid w:val="006A3021"/>
    <w:rsid w:val="006A33DB"/>
    <w:rsid w:val="006A353A"/>
    <w:rsid w:val="006A37A2"/>
    <w:rsid w:val="006A3C30"/>
    <w:rsid w:val="006A41D1"/>
    <w:rsid w:val="006A433D"/>
    <w:rsid w:val="006A44E5"/>
    <w:rsid w:val="006A46E3"/>
    <w:rsid w:val="006A4B45"/>
    <w:rsid w:val="006A584A"/>
    <w:rsid w:val="006A59D8"/>
    <w:rsid w:val="006A5B30"/>
    <w:rsid w:val="006A5C38"/>
    <w:rsid w:val="006A5EB8"/>
    <w:rsid w:val="006A5FC8"/>
    <w:rsid w:val="006A5FCC"/>
    <w:rsid w:val="006A5FD3"/>
    <w:rsid w:val="006A6632"/>
    <w:rsid w:val="006A6634"/>
    <w:rsid w:val="006A692B"/>
    <w:rsid w:val="006A6FA9"/>
    <w:rsid w:val="006A731D"/>
    <w:rsid w:val="006A7352"/>
    <w:rsid w:val="006A781A"/>
    <w:rsid w:val="006B022D"/>
    <w:rsid w:val="006B19AE"/>
    <w:rsid w:val="006B1B43"/>
    <w:rsid w:val="006B29A5"/>
    <w:rsid w:val="006B3088"/>
    <w:rsid w:val="006B3A4C"/>
    <w:rsid w:val="006B3F8A"/>
    <w:rsid w:val="006B42FF"/>
    <w:rsid w:val="006B647F"/>
    <w:rsid w:val="006B6628"/>
    <w:rsid w:val="006B6A86"/>
    <w:rsid w:val="006B6C20"/>
    <w:rsid w:val="006B6E2D"/>
    <w:rsid w:val="006B755E"/>
    <w:rsid w:val="006B75AA"/>
    <w:rsid w:val="006B789B"/>
    <w:rsid w:val="006B79F9"/>
    <w:rsid w:val="006B7F6F"/>
    <w:rsid w:val="006C000D"/>
    <w:rsid w:val="006C07E3"/>
    <w:rsid w:val="006C089E"/>
    <w:rsid w:val="006C097A"/>
    <w:rsid w:val="006C0A1F"/>
    <w:rsid w:val="006C121C"/>
    <w:rsid w:val="006C1299"/>
    <w:rsid w:val="006C12D9"/>
    <w:rsid w:val="006C210C"/>
    <w:rsid w:val="006C2541"/>
    <w:rsid w:val="006C264A"/>
    <w:rsid w:val="006C2A66"/>
    <w:rsid w:val="006C2AB5"/>
    <w:rsid w:val="006C318E"/>
    <w:rsid w:val="006C3333"/>
    <w:rsid w:val="006C3410"/>
    <w:rsid w:val="006C3DE1"/>
    <w:rsid w:val="006C456E"/>
    <w:rsid w:val="006C45ED"/>
    <w:rsid w:val="006C4750"/>
    <w:rsid w:val="006C48C5"/>
    <w:rsid w:val="006C48F7"/>
    <w:rsid w:val="006C49E4"/>
    <w:rsid w:val="006C4E56"/>
    <w:rsid w:val="006C5387"/>
    <w:rsid w:val="006C54ED"/>
    <w:rsid w:val="006C55E9"/>
    <w:rsid w:val="006C57AE"/>
    <w:rsid w:val="006C5998"/>
    <w:rsid w:val="006C5D41"/>
    <w:rsid w:val="006C60CA"/>
    <w:rsid w:val="006C6F69"/>
    <w:rsid w:val="006C7818"/>
    <w:rsid w:val="006C79D0"/>
    <w:rsid w:val="006C7C99"/>
    <w:rsid w:val="006D0389"/>
    <w:rsid w:val="006D03BC"/>
    <w:rsid w:val="006D05F4"/>
    <w:rsid w:val="006D060F"/>
    <w:rsid w:val="006D07C1"/>
    <w:rsid w:val="006D0D27"/>
    <w:rsid w:val="006D0DF8"/>
    <w:rsid w:val="006D15CE"/>
    <w:rsid w:val="006D1A38"/>
    <w:rsid w:val="006D1AE3"/>
    <w:rsid w:val="006D1B3E"/>
    <w:rsid w:val="006D1DE2"/>
    <w:rsid w:val="006D1EA2"/>
    <w:rsid w:val="006D2836"/>
    <w:rsid w:val="006D289A"/>
    <w:rsid w:val="006D2A1E"/>
    <w:rsid w:val="006D2C24"/>
    <w:rsid w:val="006D2DA7"/>
    <w:rsid w:val="006D4451"/>
    <w:rsid w:val="006D468C"/>
    <w:rsid w:val="006D483D"/>
    <w:rsid w:val="006D5451"/>
    <w:rsid w:val="006D5707"/>
    <w:rsid w:val="006D5D67"/>
    <w:rsid w:val="006D5F79"/>
    <w:rsid w:val="006D63F1"/>
    <w:rsid w:val="006D64EF"/>
    <w:rsid w:val="006D6BAB"/>
    <w:rsid w:val="006D71ED"/>
    <w:rsid w:val="006D7A1D"/>
    <w:rsid w:val="006D7D09"/>
    <w:rsid w:val="006E0196"/>
    <w:rsid w:val="006E12CC"/>
    <w:rsid w:val="006E134C"/>
    <w:rsid w:val="006E1670"/>
    <w:rsid w:val="006E1814"/>
    <w:rsid w:val="006E1BF4"/>
    <w:rsid w:val="006E22A4"/>
    <w:rsid w:val="006E280F"/>
    <w:rsid w:val="006E2BE8"/>
    <w:rsid w:val="006E2FA6"/>
    <w:rsid w:val="006E3143"/>
    <w:rsid w:val="006E38DD"/>
    <w:rsid w:val="006E4DE2"/>
    <w:rsid w:val="006E5646"/>
    <w:rsid w:val="006E56A9"/>
    <w:rsid w:val="006E644E"/>
    <w:rsid w:val="006E6A1C"/>
    <w:rsid w:val="006E6BC1"/>
    <w:rsid w:val="006E6CC6"/>
    <w:rsid w:val="006E7259"/>
    <w:rsid w:val="006E76F3"/>
    <w:rsid w:val="006E7744"/>
    <w:rsid w:val="006F0201"/>
    <w:rsid w:val="006F020A"/>
    <w:rsid w:val="006F0A8E"/>
    <w:rsid w:val="006F0C22"/>
    <w:rsid w:val="006F1396"/>
    <w:rsid w:val="006F1475"/>
    <w:rsid w:val="006F173A"/>
    <w:rsid w:val="006F1B1C"/>
    <w:rsid w:val="006F1FC5"/>
    <w:rsid w:val="006F2067"/>
    <w:rsid w:val="006F231E"/>
    <w:rsid w:val="006F2335"/>
    <w:rsid w:val="006F256B"/>
    <w:rsid w:val="006F2624"/>
    <w:rsid w:val="006F2946"/>
    <w:rsid w:val="006F294B"/>
    <w:rsid w:val="006F3778"/>
    <w:rsid w:val="006F381D"/>
    <w:rsid w:val="006F3A02"/>
    <w:rsid w:val="006F3ACC"/>
    <w:rsid w:val="006F4607"/>
    <w:rsid w:val="006F46D8"/>
    <w:rsid w:val="006F496D"/>
    <w:rsid w:val="006F50E8"/>
    <w:rsid w:val="006F54D5"/>
    <w:rsid w:val="006F5D93"/>
    <w:rsid w:val="006F6020"/>
    <w:rsid w:val="006F6388"/>
    <w:rsid w:val="006F6AE7"/>
    <w:rsid w:val="006F6E99"/>
    <w:rsid w:val="006F7844"/>
    <w:rsid w:val="006F7ADB"/>
    <w:rsid w:val="006F7B91"/>
    <w:rsid w:val="006F7D81"/>
    <w:rsid w:val="00700368"/>
    <w:rsid w:val="007008D0"/>
    <w:rsid w:val="0070091F"/>
    <w:rsid w:val="00700A9D"/>
    <w:rsid w:val="00700D28"/>
    <w:rsid w:val="007011D5"/>
    <w:rsid w:val="00701359"/>
    <w:rsid w:val="00701C7E"/>
    <w:rsid w:val="00702318"/>
    <w:rsid w:val="007023CC"/>
    <w:rsid w:val="00702777"/>
    <w:rsid w:val="00702813"/>
    <w:rsid w:val="00703662"/>
    <w:rsid w:val="0070402F"/>
    <w:rsid w:val="007040AB"/>
    <w:rsid w:val="007040CC"/>
    <w:rsid w:val="0070417F"/>
    <w:rsid w:val="00704520"/>
    <w:rsid w:val="00704D2A"/>
    <w:rsid w:val="00704DA0"/>
    <w:rsid w:val="007054D2"/>
    <w:rsid w:val="007055D4"/>
    <w:rsid w:val="007056D8"/>
    <w:rsid w:val="0070599D"/>
    <w:rsid w:val="00706232"/>
    <w:rsid w:val="007062AD"/>
    <w:rsid w:val="0070657E"/>
    <w:rsid w:val="00706FF7"/>
    <w:rsid w:val="0070776C"/>
    <w:rsid w:val="007077A9"/>
    <w:rsid w:val="0071000B"/>
    <w:rsid w:val="007100DE"/>
    <w:rsid w:val="0071012C"/>
    <w:rsid w:val="00710229"/>
    <w:rsid w:val="007102CA"/>
    <w:rsid w:val="00710831"/>
    <w:rsid w:val="007110B9"/>
    <w:rsid w:val="007115FE"/>
    <w:rsid w:val="00712998"/>
    <w:rsid w:val="007130AA"/>
    <w:rsid w:val="00713541"/>
    <w:rsid w:val="007137B6"/>
    <w:rsid w:val="0071411C"/>
    <w:rsid w:val="007141B7"/>
    <w:rsid w:val="0071431F"/>
    <w:rsid w:val="007146A8"/>
    <w:rsid w:val="00714CD1"/>
    <w:rsid w:val="00714DD8"/>
    <w:rsid w:val="007152B7"/>
    <w:rsid w:val="00715D3C"/>
    <w:rsid w:val="00715DFD"/>
    <w:rsid w:val="007160DE"/>
    <w:rsid w:val="0071662C"/>
    <w:rsid w:val="00716C31"/>
    <w:rsid w:val="0071709D"/>
    <w:rsid w:val="00717880"/>
    <w:rsid w:val="00717B81"/>
    <w:rsid w:val="00717B89"/>
    <w:rsid w:val="00720857"/>
    <w:rsid w:val="00720954"/>
    <w:rsid w:val="00720A8E"/>
    <w:rsid w:val="00720B36"/>
    <w:rsid w:val="00720B70"/>
    <w:rsid w:val="00720E5A"/>
    <w:rsid w:val="00721151"/>
    <w:rsid w:val="00721457"/>
    <w:rsid w:val="00721529"/>
    <w:rsid w:val="00721C29"/>
    <w:rsid w:val="00722127"/>
    <w:rsid w:val="0072280A"/>
    <w:rsid w:val="00722A35"/>
    <w:rsid w:val="00722A77"/>
    <w:rsid w:val="00722D1A"/>
    <w:rsid w:val="0072357E"/>
    <w:rsid w:val="007236D8"/>
    <w:rsid w:val="00723763"/>
    <w:rsid w:val="00723A2A"/>
    <w:rsid w:val="00723C56"/>
    <w:rsid w:val="00724654"/>
    <w:rsid w:val="00724756"/>
    <w:rsid w:val="00724766"/>
    <w:rsid w:val="00724CA2"/>
    <w:rsid w:val="00724CFA"/>
    <w:rsid w:val="0072545A"/>
    <w:rsid w:val="00725547"/>
    <w:rsid w:val="00725893"/>
    <w:rsid w:val="007261E3"/>
    <w:rsid w:val="007262E7"/>
    <w:rsid w:val="00726464"/>
    <w:rsid w:val="00726BCD"/>
    <w:rsid w:val="00726C94"/>
    <w:rsid w:val="0072723B"/>
    <w:rsid w:val="00727331"/>
    <w:rsid w:val="007278D6"/>
    <w:rsid w:val="007279B6"/>
    <w:rsid w:val="00727A45"/>
    <w:rsid w:val="00727BA9"/>
    <w:rsid w:val="00730188"/>
    <w:rsid w:val="007306BC"/>
    <w:rsid w:val="00730762"/>
    <w:rsid w:val="00731558"/>
    <w:rsid w:val="007319C4"/>
    <w:rsid w:val="007323E9"/>
    <w:rsid w:val="00732EC4"/>
    <w:rsid w:val="007334A3"/>
    <w:rsid w:val="007337EC"/>
    <w:rsid w:val="00734DC4"/>
    <w:rsid w:val="007358BD"/>
    <w:rsid w:val="00735BD1"/>
    <w:rsid w:val="00735D0A"/>
    <w:rsid w:val="00735FA1"/>
    <w:rsid w:val="007371FA"/>
    <w:rsid w:val="00737545"/>
    <w:rsid w:val="007401C9"/>
    <w:rsid w:val="0074071D"/>
    <w:rsid w:val="00740B5A"/>
    <w:rsid w:val="00741AAD"/>
    <w:rsid w:val="00741C12"/>
    <w:rsid w:val="00741CA7"/>
    <w:rsid w:val="00741E34"/>
    <w:rsid w:val="00741E86"/>
    <w:rsid w:val="00741ECC"/>
    <w:rsid w:val="00742049"/>
    <w:rsid w:val="0074217D"/>
    <w:rsid w:val="00742810"/>
    <w:rsid w:val="00742F30"/>
    <w:rsid w:val="00743023"/>
    <w:rsid w:val="00743290"/>
    <w:rsid w:val="00743457"/>
    <w:rsid w:val="00743761"/>
    <w:rsid w:val="007443D3"/>
    <w:rsid w:val="0074455F"/>
    <w:rsid w:val="007446B3"/>
    <w:rsid w:val="007453A0"/>
    <w:rsid w:val="007453B1"/>
    <w:rsid w:val="00745483"/>
    <w:rsid w:val="00745592"/>
    <w:rsid w:val="007457B8"/>
    <w:rsid w:val="007458E2"/>
    <w:rsid w:val="00745E38"/>
    <w:rsid w:val="0074630D"/>
    <w:rsid w:val="007465BB"/>
    <w:rsid w:val="0074662B"/>
    <w:rsid w:val="00746ADD"/>
    <w:rsid w:val="00746BC1"/>
    <w:rsid w:val="00746D1C"/>
    <w:rsid w:val="00746E88"/>
    <w:rsid w:val="0074779F"/>
    <w:rsid w:val="00747851"/>
    <w:rsid w:val="00747CD0"/>
    <w:rsid w:val="00747D60"/>
    <w:rsid w:val="00750042"/>
    <w:rsid w:val="00750077"/>
    <w:rsid w:val="00750D8E"/>
    <w:rsid w:val="0075162F"/>
    <w:rsid w:val="00751978"/>
    <w:rsid w:val="00751CD3"/>
    <w:rsid w:val="0075246D"/>
    <w:rsid w:val="00752BD0"/>
    <w:rsid w:val="00752EF3"/>
    <w:rsid w:val="007531BC"/>
    <w:rsid w:val="0075331E"/>
    <w:rsid w:val="0075354C"/>
    <w:rsid w:val="00753A9C"/>
    <w:rsid w:val="00753EBA"/>
    <w:rsid w:val="007541B0"/>
    <w:rsid w:val="00754438"/>
    <w:rsid w:val="0075469F"/>
    <w:rsid w:val="007546CF"/>
    <w:rsid w:val="00754865"/>
    <w:rsid w:val="00754AA8"/>
    <w:rsid w:val="00754B4E"/>
    <w:rsid w:val="00754CBE"/>
    <w:rsid w:val="00754E0E"/>
    <w:rsid w:val="007551E8"/>
    <w:rsid w:val="00755D8E"/>
    <w:rsid w:val="00756599"/>
    <w:rsid w:val="007568C8"/>
    <w:rsid w:val="00756A55"/>
    <w:rsid w:val="00756BCF"/>
    <w:rsid w:val="007578B0"/>
    <w:rsid w:val="00757CA1"/>
    <w:rsid w:val="00760121"/>
    <w:rsid w:val="0076096A"/>
    <w:rsid w:val="0076102E"/>
    <w:rsid w:val="0076170B"/>
    <w:rsid w:val="00761FC4"/>
    <w:rsid w:val="007624F8"/>
    <w:rsid w:val="00762584"/>
    <w:rsid w:val="007629B5"/>
    <w:rsid w:val="00762C81"/>
    <w:rsid w:val="00762D69"/>
    <w:rsid w:val="00762F0C"/>
    <w:rsid w:val="0076325C"/>
    <w:rsid w:val="0076337B"/>
    <w:rsid w:val="00763713"/>
    <w:rsid w:val="00763F3B"/>
    <w:rsid w:val="00764287"/>
    <w:rsid w:val="007643C4"/>
    <w:rsid w:val="007645D8"/>
    <w:rsid w:val="007646E4"/>
    <w:rsid w:val="00764E5F"/>
    <w:rsid w:val="007654C9"/>
    <w:rsid w:val="00765C40"/>
    <w:rsid w:val="00765FDF"/>
    <w:rsid w:val="007660F1"/>
    <w:rsid w:val="00766567"/>
    <w:rsid w:val="00766814"/>
    <w:rsid w:val="00767388"/>
    <w:rsid w:val="0076760A"/>
    <w:rsid w:val="0076761D"/>
    <w:rsid w:val="00767774"/>
    <w:rsid w:val="00767B87"/>
    <w:rsid w:val="00767D50"/>
    <w:rsid w:val="00767E41"/>
    <w:rsid w:val="0077020C"/>
    <w:rsid w:val="0077051E"/>
    <w:rsid w:val="00770764"/>
    <w:rsid w:val="00770FB2"/>
    <w:rsid w:val="0077105E"/>
    <w:rsid w:val="00771091"/>
    <w:rsid w:val="00771384"/>
    <w:rsid w:val="007713A4"/>
    <w:rsid w:val="007713B1"/>
    <w:rsid w:val="007714B0"/>
    <w:rsid w:val="00771695"/>
    <w:rsid w:val="00771C5B"/>
    <w:rsid w:val="00772147"/>
    <w:rsid w:val="007725D6"/>
    <w:rsid w:val="007727C4"/>
    <w:rsid w:val="00772A72"/>
    <w:rsid w:val="007731FF"/>
    <w:rsid w:val="007735F1"/>
    <w:rsid w:val="00773D55"/>
    <w:rsid w:val="00773E15"/>
    <w:rsid w:val="00774079"/>
    <w:rsid w:val="00774336"/>
    <w:rsid w:val="00774355"/>
    <w:rsid w:val="00774F99"/>
    <w:rsid w:val="00775535"/>
    <w:rsid w:val="00775AD2"/>
    <w:rsid w:val="00775D75"/>
    <w:rsid w:val="00775E48"/>
    <w:rsid w:val="007764D8"/>
    <w:rsid w:val="0077651B"/>
    <w:rsid w:val="007770DA"/>
    <w:rsid w:val="007774D2"/>
    <w:rsid w:val="00777547"/>
    <w:rsid w:val="00777A19"/>
    <w:rsid w:val="00780380"/>
    <w:rsid w:val="00780476"/>
    <w:rsid w:val="007807EF"/>
    <w:rsid w:val="007809DF"/>
    <w:rsid w:val="00781727"/>
    <w:rsid w:val="00781896"/>
    <w:rsid w:val="00781B1D"/>
    <w:rsid w:val="00781CF4"/>
    <w:rsid w:val="00781D95"/>
    <w:rsid w:val="00781E3D"/>
    <w:rsid w:val="0078201E"/>
    <w:rsid w:val="00782060"/>
    <w:rsid w:val="00783199"/>
    <w:rsid w:val="00783317"/>
    <w:rsid w:val="00783B2C"/>
    <w:rsid w:val="00783B52"/>
    <w:rsid w:val="00783F71"/>
    <w:rsid w:val="007846E7"/>
    <w:rsid w:val="00784EBD"/>
    <w:rsid w:val="007850F3"/>
    <w:rsid w:val="0078540C"/>
    <w:rsid w:val="007857B0"/>
    <w:rsid w:val="0078638A"/>
    <w:rsid w:val="007865BA"/>
    <w:rsid w:val="00786AF7"/>
    <w:rsid w:val="00786F50"/>
    <w:rsid w:val="007871E2"/>
    <w:rsid w:val="00787482"/>
    <w:rsid w:val="0078776E"/>
    <w:rsid w:val="00790377"/>
    <w:rsid w:val="00790431"/>
    <w:rsid w:val="00790774"/>
    <w:rsid w:val="0079086A"/>
    <w:rsid w:val="007908FF"/>
    <w:rsid w:val="0079097B"/>
    <w:rsid w:val="00790A58"/>
    <w:rsid w:val="00790AA9"/>
    <w:rsid w:val="00791212"/>
    <w:rsid w:val="0079176B"/>
    <w:rsid w:val="00791CB6"/>
    <w:rsid w:val="00791E66"/>
    <w:rsid w:val="00791F54"/>
    <w:rsid w:val="00792148"/>
    <w:rsid w:val="007929D8"/>
    <w:rsid w:val="00792AB5"/>
    <w:rsid w:val="00792B0A"/>
    <w:rsid w:val="00792FD2"/>
    <w:rsid w:val="007931D6"/>
    <w:rsid w:val="00793215"/>
    <w:rsid w:val="00793D15"/>
    <w:rsid w:val="00794B8B"/>
    <w:rsid w:val="00794D5E"/>
    <w:rsid w:val="007951D9"/>
    <w:rsid w:val="007960CD"/>
    <w:rsid w:val="0079623B"/>
    <w:rsid w:val="00796690"/>
    <w:rsid w:val="00797525"/>
    <w:rsid w:val="007976C5"/>
    <w:rsid w:val="00797961"/>
    <w:rsid w:val="00797EB8"/>
    <w:rsid w:val="00797F03"/>
    <w:rsid w:val="007A04F4"/>
    <w:rsid w:val="007A1422"/>
    <w:rsid w:val="007A1C9B"/>
    <w:rsid w:val="007A2157"/>
    <w:rsid w:val="007A218D"/>
    <w:rsid w:val="007A22FB"/>
    <w:rsid w:val="007A2A3C"/>
    <w:rsid w:val="007A2D38"/>
    <w:rsid w:val="007A2ECD"/>
    <w:rsid w:val="007A2F19"/>
    <w:rsid w:val="007A32ED"/>
    <w:rsid w:val="007A351F"/>
    <w:rsid w:val="007A3558"/>
    <w:rsid w:val="007A3924"/>
    <w:rsid w:val="007A3AE1"/>
    <w:rsid w:val="007A3E56"/>
    <w:rsid w:val="007A4DB7"/>
    <w:rsid w:val="007A5444"/>
    <w:rsid w:val="007A5C0B"/>
    <w:rsid w:val="007A5C35"/>
    <w:rsid w:val="007A5C39"/>
    <w:rsid w:val="007A5E08"/>
    <w:rsid w:val="007A637B"/>
    <w:rsid w:val="007A63D6"/>
    <w:rsid w:val="007A6C8C"/>
    <w:rsid w:val="007A6C96"/>
    <w:rsid w:val="007A6CEA"/>
    <w:rsid w:val="007A6F86"/>
    <w:rsid w:val="007A7098"/>
    <w:rsid w:val="007A755F"/>
    <w:rsid w:val="007A7ACF"/>
    <w:rsid w:val="007A7FB9"/>
    <w:rsid w:val="007B034D"/>
    <w:rsid w:val="007B0900"/>
    <w:rsid w:val="007B118E"/>
    <w:rsid w:val="007B19D9"/>
    <w:rsid w:val="007B1A28"/>
    <w:rsid w:val="007B2345"/>
    <w:rsid w:val="007B2613"/>
    <w:rsid w:val="007B2798"/>
    <w:rsid w:val="007B29FB"/>
    <w:rsid w:val="007B2A84"/>
    <w:rsid w:val="007B3FF3"/>
    <w:rsid w:val="007B458A"/>
    <w:rsid w:val="007B4930"/>
    <w:rsid w:val="007B4C95"/>
    <w:rsid w:val="007B500F"/>
    <w:rsid w:val="007B510C"/>
    <w:rsid w:val="007B51A4"/>
    <w:rsid w:val="007B5684"/>
    <w:rsid w:val="007B5858"/>
    <w:rsid w:val="007B5BBA"/>
    <w:rsid w:val="007B61A6"/>
    <w:rsid w:val="007B621B"/>
    <w:rsid w:val="007B712E"/>
    <w:rsid w:val="007B7461"/>
    <w:rsid w:val="007B76BE"/>
    <w:rsid w:val="007B7848"/>
    <w:rsid w:val="007B786D"/>
    <w:rsid w:val="007B7A6F"/>
    <w:rsid w:val="007B7CFF"/>
    <w:rsid w:val="007B7E01"/>
    <w:rsid w:val="007B7FBD"/>
    <w:rsid w:val="007C01DA"/>
    <w:rsid w:val="007C033A"/>
    <w:rsid w:val="007C066D"/>
    <w:rsid w:val="007C0A43"/>
    <w:rsid w:val="007C0B6C"/>
    <w:rsid w:val="007C0EBE"/>
    <w:rsid w:val="007C0F62"/>
    <w:rsid w:val="007C0F8C"/>
    <w:rsid w:val="007C123E"/>
    <w:rsid w:val="007C1DAC"/>
    <w:rsid w:val="007C248D"/>
    <w:rsid w:val="007C2996"/>
    <w:rsid w:val="007C2A66"/>
    <w:rsid w:val="007C2F46"/>
    <w:rsid w:val="007C3DCE"/>
    <w:rsid w:val="007C417D"/>
    <w:rsid w:val="007C4647"/>
    <w:rsid w:val="007C48B4"/>
    <w:rsid w:val="007C49A8"/>
    <w:rsid w:val="007C4B7B"/>
    <w:rsid w:val="007C4DB9"/>
    <w:rsid w:val="007C56DF"/>
    <w:rsid w:val="007C65D7"/>
    <w:rsid w:val="007C6621"/>
    <w:rsid w:val="007C66F7"/>
    <w:rsid w:val="007C6F51"/>
    <w:rsid w:val="007C70D0"/>
    <w:rsid w:val="007C74D1"/>
    <w:rsid w:val="007C74E0"/>
    <w:rsid w:val="007C77AF"/>
    <w:rsid w:val="007C7C87"/>
    <w:rsid w:val="007D0475"/>
    <w:rsid w:val="007D0481"/>
    <w:rsid w:val="007D0705"/>
    <w:rsid w:val="007D0FF8"/>
    <w:rsid w:val="007D0FF9"/>
    <w:rsid w:val="007D1DEB"/>
    <w:rsid w:val="007D1F35"/>
    <w:rsid w:val="007D2ABA"/>
    <w:rsid w:val="007D2ADD"/>
    <w:rsid w:val="007D2BDB"/>
    <w:rsid w:val="007D2C69"/>
    <w:rsid w:val="007D2E18"/>
    <w:rsid w:val="007D2FB5"/>
    <w:rsid w:val="007D3160"/>
    <w:rsid w:val="007D360D"/>
    <w:rsid w:val="007D36EC"/>
    <w:rsid w:val="007D3729"/>
    <w:rsid w:val="007D3B71"/>
    <w:rsid w:val="007D3FF6"/>
    <w:rsid w:val="007D4516"/>
    <w:rsid w:val="007D45B0"/>
    <w:rsid w:val="007D484B"/>
    <w:rsid w:val="007D4A28"/>
    <w:rsid w:val="007D536F"/>
    <w:rsid w:val="007D53E7"/>
    <w:rsid w:val="007D5AEF"/>
    <w:rsid w:val="007D6023"/>
    <w:rsid w:val="007D62A7"/>
    <w:rsid w:val="007D675A"/>
    <w:rsid w:val="007D6BE4"/>
    <w:rsid w:val="007D6ED3"/>
    <w:rsid w:val="007D707D"/>
    <w:rsid w:val="007D77B9"/>
    <w:rsid w:val="007D7B53"/>
    <w:rsid w:val="007D7F6C"/>
    <w:rsid w:val="007E0299"/>
    <w:rsid w:val="007E03D9"/>
    <w:rsid w:val="007E0496"/>
    <w:rsid w:val="007E0686"/>
    <w:rsid w:val="007E0ABD"/>
    <w:rsid w:val="007E0CBE"/>
    <w:rsid w:val="007E13B6"/>
    <w:rsid w:val="007E1414"/>
    <w:rsid w:val="007E16F1"/>
    <w:rsid w:val="007E19BB"/>
    <w:rsid w:val="007E1F7F"/>
    <w:rsid w:val="007E2136"/>
    <w:rsid w:val="007E2279"/>
    <w:rsid w:val="007E2D67"/>
    <w:rsid w:val="007E2DDA"/>
    <w:rsid w:val="007E2E3D"/>
    <w:rsid w:val="007E3639"/>
    <w:rsid w:val="007E3891"/>
    <w:rsid w:val="007E3D8D"/>
    <w:rsid w:val="007E4057"/>
    <w:rsid w:val="007E40EE"/>
    <w:rsid w:val="007E428B"/>
    <w:rsid w:val="007E4428"/>
    <w:rsid w:val="007E4832"/>
    <w:rsid w:val="007E558B"/>
    <w:rsid w:val="007E5D10"/>
    <w:rsid w:val="007E6277"/>
    <w:rsid w:val="007E6979"/>
    <w:rsid w:val="007E7019"/>
    <w:rsid w:val="007E74F8"/>
    <w:rsid w:val="007E7BF5"/>
    <w:rsid w:val="007F0999"/>
    <w:rsid w:val="007F09AE"/>
    <w:rsid w:val="007F19E1"/>
    <w:rsid w:val="007F1F87"/>
    <w:rsid w:val="007F2160"/>
    <w:rsid w:val="007F22F1"/>
    <w:rsid w:val="007F24AE"/>
    <w:rsid w:val="007F2ADB"/>
    <w:rsid w:val="007F2F92"/>
    <w:rsid w:val="007F2FA0"/>
    <w:rsid w:val="007F3378"/>
    <w:rsid w:val="007F33E0"/>
    <w:rsid w:val="007F34DA"/>
    <w:rsid w:val="007F385E"/>
    <w:rsid w:val="007F3977"/>
    <w:rsid w:val="007F3BFC"/>
    <w:rsid w:val="007F403F"/>
    <w:rsid w:val="007F4081"/>
    <w:rsid w:val="007F40CB"/>
    <w:rsid w:val="007F4558"/>
    <w:rsid w:val="007F4B44"/>
    <w:rsid w:val="007F4E30"/>
    <w:rsid w:val="007F5205"/>
    <w:rsid w:val="007F585A"/>
    <w:rsid w:val="007F5AE2"/>
    <w:rsid w:val="007F5FCD"/>
    <w:rsid w:val="007F6016"/>
    <w:rsid w:val="007F6D75"/>
    <w:rsid w:val="007F7097"/>
    <w:rsid w:val="007F7904"/>
    <w:rsid w:val="007F7E6F"/>
    <w:rsid w:val="008007E5"/>
    <w:rsid w:val="00801113"/>
    <w:rsid w:val="0080146C"/>
    <w:rsid w:val="0080156A"/>
    <w:rsid w:val="00801BB7"/>
    <w:rsid w:val="00801CDE"/>
    <w:rsid w:val="00802446"/>
    <w:rsid w:val="00802F2F"/>
    <w:rsid w:val="008033D4"/>
    <w:rsid w:val="00803F1B"/>
    <w:rsid w:val="008041FF"/>
    <w:rsid w:val="0080483F"/>
    <w:rsid w:val="00804EC4"/>
    <w:rsid w:val="0080550D"/>
    <w:rsid w:val="0080559F"/>
    <w:rsid w:val="00805786"/>
    <w:rsid w:val="0080603F"/>
    <w:rsid w:val="008063A1"/>
    <w:rsid w:val="00806C76"/>
    <w:rsid w:val="00807092"/>
    <w:rsid w:val="008070D5"/>
    <w:rsid w:val="00807427"/>
    <w:rsid w:val="0080753F"/>
    <w:rsid w:val="00807FD1"/>
    <w:rsid w:val="0081051C"/>
    <w:rsid w:val="0081067D"/>
    <w:rsid w:val="0081069A"/>
    <w:rsid w:val="00810798"/>
    <w:rsid w:val="0081088A"/>
    <w:rsid w:val="00810C05"/>
    <w:rsid w:val="00810C90"/>
    <w:rsid w:val="00811001"/>
    <w:rsid w:val="00812255"/>
    <w:rsid w:val="008123C4"/>
    <w:rsid w:val="008124C7"/>
    <w:rsid w:val="00812864"/>
    <w:rsid w:val="00812D32"/>
    <w:rsid w:val="00812EC9"/>
    <w:rsid w:val="00812F40"/>
    <w:rsid w:val="00813100"/>
    <w:rsid w:val="008131B9"/>
    <w:rsid w:val="008132CF"/>
    <w:rsid w:val="00813603"/>
    <w:rsid w:val="0081368D"/>
    <w:rsid w:val="0081370B"/>
    <w:rsid w:val="00813C4E"/>
    <w:rsid w:val="00813E48"/>
    <w:rsid w:val="00814752"/>
    <w:rsid w:val="008152BA"/>
    <w:rsid w:val="008153C3"/>
    <w:rsid w:val="0081550E"/>
    <w:rsid w:val="00815A42"/>
    <w:rsid w:val="0081619C"/>
    <w:rsid w:val="00816427"/>
    <w:rsid w:val="008165B8"/>
    <w:rsid w:val="00816D1A"/>
    <w:rsid w:val="00816F65"/>
    <w:rsid w:val="0081715D"/>
    <w:rsid w:val="0081721A"/>
    <w:rsid w:val="0081764C"/>
    <w:rsid w:val="0081793B"/>
    <w:rsid w:val="00817C0D"/>
    <w:rsid w:val="00820697"/>
    <w:rsid w:val="008206BD"/>
    <w:rsid w:val="00820B34"/>
    <w:rsid w:val="00820B79"/>
    <w:rsid w:val="00820BE4"/>
    <w:rsid w:val="00820FFF"/>
    <w:rsid w:val="0082143E"/>
    <w:rsid w:val="008218AE"/>
    <w:rsid w:val="008221A5"/>
    <w:rsid w:val="008221B8"/>
    <w:rsid w:val="008227D8"/>
    <w:rsid w:val="00822E62"/>
    <w:rsid w:val="008235F2"/>
    <w:rsid w:val="0082373E"/>
    <w:rsid w:val="00823FF7"/>
    <w:rsid w:val="00824010"/>
    <w:rsid w:val="008245BE"/>
    <w:rsid w:val="00824B62"/>
    <w:rsid w:val="00824C87"/>
    <w:rsid w:val="00824F19"/>
    <w:rsid w:val="008252AF"/>
    <w:rsid w:val="008253AA"/>
    <w:rsid w:val="008267E4"/>
    <w:rsid w:val="00826B82"/>
    <w:rsid w:val="00826BE5"/>
    <w:rsid w:val="00826D91"/>
    <w:rsid w:val="00826E7E"/>
    <w:rsid w:val="00826F63"/>
    <w:rsid w:val="00826FC8"/>
    <w:rsid w:val="00827535"/>
    <w:rsid w:val="00827906"/>
    <w:rsid w:val="00827F32"/>
    <w:rsid w:val="008304E2"/>
    <w:rsid w:val="00830595"/>
    <w:rsid w:val="00830969"/>
    <w:rsid w:val="00830E87"/>
    <w:rsid w:val="00831598"/>
    <w:rsid w:val="00831704"/>
    <w:rsid w:val="008326A8"/>
    <w:rsid w:val="008328D3"/>
    <w:rsid w:val="00833197"/>
    <w:rsid w:val="0083386C"/>
    <w:rsid w:val="008340D5"/>
    <w:rsid w:val="00834182"/>
    <w:rsid w:val="00834242"/>
    <w:rsid w:val="0083469C"/>
    <w:rsid w:val="00834AE9"/>
    <w:rsid w:val="00834D24"/>
    <w:rsid w:val="00834FB1"/>
    <w:rsid w:val="0083544B"/>
    <w:rsid w:val="008356CF"/>
    <w:rsid w:val="00835EA8"/>
    <w:rsid w:val="00836228"/>
    <w:rsid w:val="0083633B"/>
    <w:rsid w:val="0083717A"/>
    <w:rsid w:val="008372CF"/>
    <w:rsid w:val="00837444"/>
    <w:rsid w:val="0083777B"/>
    <w:rsid w:val="00837A98"/>
    <w:rsid w:val="00837CE6"/>
    <w:rsid w:val="00837EE7"/>
    <w:rsid w:val="0084048D"/>
    <w:rsid w:val="008407AB"/>
    <w:rsid w:val="008407C2"/>
    <w:rsid w:val="008407EB"/>
    <w:rsid w:val="00840F4C"/>
    <w:rsid w:val="00841547"/>
    <w:rsid w:val="00842651"/>
    <w:rsid w:val="0084289A"/>
    <w:rsid w:val="00842A6E"/>
    <w:rsid w:val="00842D36"/>
    <w:rsid w:val="00842D51"/>
    <w:rsid w:val="008430C1"/>
    <w:rsid w:val="00843377"/>
    <w:rsid w:val="008440A6"/>
    <w:rsid w:val="0084463F"/>
    <w:rsid w:val="0084467C"/>
    <w:rsid w:val="008450FF"/>
    <w:rsid w:val="00845990"/>
    <w:rsid w:val="008459A3"/>
    <w:rsid w:val="00845A12"/>
    <w:rsid w:val="00845C46"/>
    <w:rsid w:val="00845EDF"/>
    <w:rsid w:val="00846A3B"/>
    <w:rsid w:val="00847014"/>
    <w:rsid w:val="0084746B"/>
    <w:rsid w:val="008476A9"/>
    <w:rsid w:val="00847764"/>
    <w:rsid w:val="00847AE0"/>
    <w:rsid w:val="00847F67"/>
    <w:rsid w:val="00850585"/>
    <w:rsid w:val="00850771"/>
    <w:rsid w:val="00850792"/>
    <w:rsid w:val="00850A86"/>
    <w:rsid w:val="00850AD5"/>
    <w:rsid w:val="00851051"/>
    <w:rsid w:val="00851253"/>
    <w:rsid w:val="0085133D"/>
    <w:rsid w:val="0085161E"/>
    <w:rsid w:val="00851D55"/>
    <w:rsid w:val="008520CF"/>
    <w:rsid w:val="00852168"/>
    <w:rsid w:val="008524D9"/>
    <w:rsid w:val="00852A5E"/>
    <w:rsid w:val="00852BC8"/>
    <w:rsid w:val="00852E14"/>
    <w:rsid w:val="00852E43"/>
    <w:rsid w:val="00852EF2"/>
    <w:rsid w:val="008531DC"/>
    <w:rsid w:val="008531F3"/>
    <w:rsid w:val="0085335D"/>
    <w:rsid w:val="00853370"/>
    <w:rsid w:val="0085344C"/>
    <w:rsid w:val="008535F0"/>
    <w:rsid w:val="008538B4"/>
    <w:rsid w:val="00853C58"/>
    <w:rsid w:val="008547E0"/>
    <w:rsid w:val="00854AD3"/>
    <w:rsid w:val="00854DAF"/>
    <w:rsid w:val="00855290"/>
    <w:rsid w:val="008557D3"/>
    <w:rsid w:val="008558C5"/>
    <w:rsid w:val="00855921"/>
    <w:rsid w:val="00855A5F"/>
    <w:rsid w:val="00856176"/>
    <w:rsid w:val="00856187"/>
    <w:rsid w:val="00856E26"/>
    <w:rsid w:val="0085717C"/>
    <w:rsid w:val="00857476"/>
    <w:rsid w:val="0085772E"/>
    <w:rsid w:val="008603B7"/>
    <w:rsid w:val="00860559"/>
    <w:rsid w:val="0086073D"/>
    <w:rsid w:val="008607D1"/>
    <w:rsid w:val="00860CE0"/>
    <w:rsid w:val="00860D65"/>
    <w:rsid w:val="00860F1C"/>
    <w:rsid w:val="00860F24"/>
    <w:rsid w:val="0086128C"/>
    <w:rsid w:val="008612A8"/>
    <w:rsid w:val="00861B1C"/>
    <w:rsid w:val="008621B9"/>
    <w:rsid w:val="00862865"/>
    <w:rsid w:val="00863916"/>
    <w:rsid w:val="00863D04"/>
    <w:rsid w:val="00863FD7"/>
    <w:rsid w:val="00863FFB"/>
    <w:rsid w:val="00864035"/>
    <w:rsid w:val="0086415B"/>
    <w:rsid w:val="008653BC"/>
    <w:rsid w:val="00865582"/>
    <w:rsid w:val="008655A2"/>
    <w:rsid w:val="00865B43"/>
    <w:rsid w:val="00865B5A"/>
    <w:rsid w:val="00865BD0"/>
    <w:rsid w:val="00866A24"/>
    <w:rsid w:val="0086708B"/>
    <w:rsid w:val="008674F8"/>
    <w:rsid w:val="00867E51"/>
    <w:rsid w:val="00870035"/>
    <w:rsid w:val="00870463"/>
    <w:rsid w:val="00870949"/>
    <w:rsid w:val="00871687"/>
    <w:rsid w:val="008718AE"/>
    <w:rsid w:val="00871C4B"/>
    <w:rsid w:val="00871D17"/>
    <w:rsid w:val="00871D84"/>
    <w:rsid w:val="008722E2"/>
    <w:rsid w:val="00872566"/>
    <w:rsid w:val="0087274D"/>
    <w:rsid w:val="00872CD0"/>
    <w:rsid w:val="00873533"/>
    <w:rsid w:val="008736D5"/>
    <w:rsid w:val="008736FC"/>
    <w:rsid w:val="00873885"/>
    <w:rsid w:val="00873FCB"/>
    <w:rsid w:val="008745F5"/>
    <w:rsid w:val="00874664"/>
    <w:rsid w:val="00874DC4"/>
    <w:rsid w:val="00875244"/>
    <w:rsid w:val="0087524A"/>
    <w:rsid w:val="00875345"/>
    <w:rsid w:val="00875403"/>
    <w:rsid w:val="00876328"/>
    <w:rsid w:val="00876B09"/>
    <w:rsid w:val="00876B14"/>
    <w:rsid w:val="00877130"/>
    <w:rsid w:val="00877471"/>
    <w:rsid w:val="008777F8"/>
    <w:rsid w:val="00880823"/>
    <w:rsid w:val="00880838"/>
    <w:rsid w:val="0088198F"/>
    <w:rsid w:val="00881E45"/>
    <w:rsid w:val="008821E7"/>
    <w:rsid w:val="00882224"/>
    <w:rsid w:val="0088224A"/>
    <w:rsid w:val="0088281C"/>
    <w:rsid w:val="00882A93"/>
    <w:rsid w:val="00883428"/>
    <w:rsid w:val="008835AF"/>
    <w:rsid w:val="008841CB"/>
    <w:rsid w:val="00884639"/>
    <w:rsid w:val="00885985"/>
    <w:rsid w:val="0088599C"/>
    <w:rsid w:val="008859D8"/>
    <w:rsid w:val="0088634D"/>
    <w:rsid w:val="00886658"/>
    <w:rsid w:val="00886836"/>
    <w:rsid w:val="00886A38"/>
    <w:rsid w:val="00887305"/>
    <w:rsid w:val="008875DE"/>
    <w:rsid w:val="008876AD"/>
    <w:rsid w:val="008877E2"/>
    <w:rsid w:val="008878D2"/>
    <w:rsid w:val="00890214"/>
    <w:rsid w:val="00890B9D"/>
    <w:rsid w:val="00890F72"/>
    <w:rsid w:val="00890F9B"/>
    <w:rsid w:val="008912DB"/>
    <w:rsid w:val="00891B00"/>
    <w:rsid w:val="00892041"/>
    <w:rsid w:val="008922B4"/>
    <w:rsid w:val="0089231B"/>
    <w:rsid w:val="00892825"/>
    <w:rsid w:val="00892948"/>
    <w:rsid w:val="008929A3"/>
    <w:rsid w:val="00892B86"/>
    <w:rsid w:val="00892BEC"/>
    <w:rsid w:val="00892D4F"/>
    <w:rsid w:val="00892E2F"/>
    <w:rsid w:val="00893858"/>
    <w:rsid w:val="00893AEE"/>
    <w:rsid w:val="0089402E"/>
    <w:rsid w:val="008942AA"/>
    <w:rsid w:val="0089466E"/>
    <w:rsid w:val="008950ED"/>
    <w:rsid w:val="008956BC"/>
    <w:rsid w:val="00895902"/>
    <w:rsid w:val="00895E34"/>
    <w:rsid w:val="00895E51"/>
    <w:rsid w:val="00896BF9"/>
    <w:rsid w:val="00896E4F"/>
    <w:rsid w:val="00896EFD"/>
    <w:rsid w:val="00897317"/>
    <w:rsid w:val="00897462"/>
    <w:rsid w:val="0089788A"/>
    <w:rsid w:val="008978AC"/>
    <w:rsid w:val="00897DFB"/>
    <w:rsid w:val="00897EA9"/>
    <w:rsid w:val="008A17BC"/>
    <w:rsid w:val="008A18B5"/>
    <w:rsid w:val="008A2DA4"/>
    <w:rsid w:val="008A3494"/>
    <w:rsid w:val="008A39DE"/>
    <w:rsid w:val="008A3B70"/>
    <w:rsid w:val="008A3BF5"/>
    <w:rsid w:val="008A3E8F"/>
    <w:rsid w:val="008A3FA5"/>
    <w:rsid w:val="008A4B26"/>
    <w:rsid w:val="008A535A"/>
    <w:rsid w:val="008A578F"/>
    <w:rsid w:val="008A5C85"/>
    <w:rsid w:val="008A5E0A"/>
    <w:rsid w:val="008A6129"/>
    <w:rsid w:val="008A619A"/>
    <w:rsid w:val="008A6BE6"/>
    <w:rsid w:val="008A700C"/>
    <w:rsid w:val="008A75B2"/>
    <w:rsid w:val="008A766F"/>
    <w:rsid w:val="008A7F40"/>
    <w:rsid w:val="008B0036"/>
    <w:rsid w:val="008B0680"/>
    <w:rsid w:val="008B06E3"/>
    <w:rsid w:val="008B111D"/>
    <w:rsid w:val="008B1529"/>
    <w:rsid w:val="008B1F0C"/>
    <w:rsid w:val="008B1F81"/>
    <w:rsid w:val="008B21D8"/>
    <w:rsid w:val="008B250C"/>
    <w:rsid w:val="008B2721"/>
    <w:rsid w:val="008B2736"/>
    <w:rsid w:val="008B28C4"/>
    <w:rsid w:val="008B2DA1"/>
    <w:rsid w:val="008B2E7B"/>
    <w:rsid w:val="008B3AF1"/>
    <w:rsid w:val="008B3D54"/>
    <w:rsid w:val="008B3E47"/>
    <w:rsid w:val="008B3E54"/>
    <w:rsid w:val="008B49D9"/>
    <w:rsid w:val="008B4A4C"/>
    <w:rsid w:val="008B4EF0"/>
    <w:rsid w:val="008B505B"/>
    <w:rsid w:val="008B5367"/>
    <w:rsid w:val="008B55F3"/>
    <w:rsid w:val="008B578A"/>
    <w:rsid w:val="008B57AE"/>
    <w:rsid w:val="008B5C25"/>
    <w:rsid w:val="008B632D"/>
    <w:rsid w:val="008B6497"/>
    <w:rsid w:val="008B670D"/>
    <w:rsid w:val="008B6A3A"/>
    <w:rsid w:val="008B6C3B"/>
    <w:rsid w:val="008B6CBC"/>
    <w:rsid w:val="008B70E6"/>
    <w:rsid w:val="008B759C"/>
    <w:rsid w:val="008B7F8F"/>
    <w:rsid w:val="008C0081"/>
    <w:rsid w:val="008C01E8"/>
    <w:rsid w:val="008C06DC"/>
    <w:rsid w:val="008C0C15"/>
    <w:rsid w:val="008C11C0"/>
    <w:rsid w:val="008C1350"/>
    <w:rsid w:val="008C1ED4"/>
    <w:rsid w:val="008C2BF3"/>
    <w:rsid w:val="008C2DAD"/>
    <w:rsid w:val="008C37E5"/>
    <w:rsid w:val="008C38D5"/>
    <w:rsid w:val="008C3B43"/>
    <w:rsid w:val="008C3FAB"/>
    <w:rsid w:val="008C4080"/>
    <w:rsid w:val="008C42C9"/>
    <w:rsid w:val="008C47A6"/>
    <w:rsid w:val="008C4E2C"/>
    <w:rsid w:val="008C53E9"/>
    <w:rsid w:val="008C54FB"/>
    <w:rsid w:val="008C5B2D"/>
    <w:rsid w:val="008C5B42"/>
    <w:rsid w:val="008C5BB5"/>
    <w:rsid w:val="008C5DA2"/>
    <w:rsid w:val="008C6DD9"/>
    <w:rsid w:val="008C6EFA"/>
    <w:rsid w:val="008C78A6"/>
    <w:rsid w:val="008C7B4B"/>
    <w:rsid w:val="008D12CA"/>
    <w:rsid w:val="008D16AE"/>
    <w:rsid w:val="008D1A21"/>
    <w:rsid w:val="008D23D0"/>
    <w:rsid w:val="008D2D9E"/>
    <w:rsid w:val="008D2FE7"/>
    <w:rsid w:val="008D3286"/>
    <w:rsid w:val="008D367A"/>
    <w:rsid w:val="008D3AE0"/>
    <w:rsid w:val="008D4227"/>
    <w:rsid w:val="008D4569"/>
    <w:rsid w:val="008D503D"/>
    <w:rsid w:val="008D5066"/>
    <w:rsid w:val="008D57F3"/>
    <w:rsid w:val="008D5C57"/>
    <w:rsid w:val="008D5E5D"/>
    <w:rsid w:val="008D61B9"/>
    <w:rsid w:val="008D66E7"/>
    <w:rsid w:val="008D66EA"/>
    <w:rsid w:val="008D6DB8"/>
    <w:rsid w:val="008D704D"/>
    <w:rsid w:val="008D743E"/>
    <w:rsid w:val="008D7814"/>
    <w:rsid w:val="008D7883"/>
    <w:rsid w:val="008D79D6"/>
    <w:rsid w:val="008D7A36"/>
    <w:rsid w:val="008D7EC8"/>
    <w:rsid w:val="008D7F87"/>
    <w:rsid w:val="008E0034"/>
    <w:rsid w:val="008E05B1"/>
    <w:rsid w:val="008E0671"/>
    <w:rsid w:val="008E0B98"/>
    <w:rsid w:val="008E0DE5"/>
    <w:rsid w:val="008E0E15"/>
    <w:rsid w:val="008E186F"/>
    <w:rsid w:val="008E195E"/>
    <w:rsid w:val="008E1D0C"/>
    <w:rsid w:val="008E1F81"/>
    <w:rsid w:val="008E219B"/>
    <w:rsid w:val="008E26C4"/>
    <w:rsid w:val="008E36EB"/>
    <w:rsid w:val="008E396B"/>
    <w:rsid w:val="008E42FC"/>
    <w:rsid w:val="008E4ABA"/>
    <w:rsid w:val="008E4B52"/>
    <w:rsid w:val="008E514D"/>
    <w:rsid w:val="008E5871"/>
    <w:rsid w:val="008E5975"/>
    <w:rsid w:val="008E5A8E"/>
    <w:rsid w:val="008E5C8A"/>
    <w:rsid w:val="008E5E9A"/>
    <w:rsid w:val="008E6A4D"/>
    <w:rsid w:val="008E6A9B"/>
    <w:rsid w:val="008E6BF7"/>
    <w:rsid w:val="008E6E23"/>
    <w:rsid w:val="008E735C"/>
    <w:rsid w:val="008E75D0"/>
    <w:rsid w:val="008E7FD0"/>
    <w:rsid w:val="008F007E"/>
    <w:rsid w:val="008F015E"/>
    <w:rsid w:val="008F029B"/>
    <w:rsid w:val="008F0B9C"/>
    <w:rsid w:val="008F215B"/>
    <w:rsid w:val="008F2EAC"/>
    <w:rsid w:val="008F32AF"/>
    <w:rsid w:val="008F34A2"/>
    <w:rsid w:val="008F3D94"/>
    <w:rsid w:val="008F4933"/>
    <w:rsid w:val="008F50B8"/>
    <w:rsid w:val="008F53E7"/>
    <w:rsid w:val="008F55FF"/>
    <w:rsid w:val="008F5757"/>
    <w:rsid w:val="008F5856"/>
    <w:rsid w:val="008F5DAE"/>
    <w:rsid w:val="008F63F4"/>
    <w:rsid w:val="008F68A1"/>
    <w:rsid w:val="008F6BB8"/>
    <w:rsid w:val="008F7172"/>
    <w:rsid w:val="008F78AD"/>
    <w:rsid w:val="0090005A"/>
    <w:rsid w:val="00900148"/>
    <w:rsid w:val="00900516"/>
    <w:rsid w:val="0090088E"/>
    <w:rsid w:val="00900B38"/>
    <w:rsid w:val="00901439"/>
    <w:rsid w:val="00901CB8"/>
    <w:rsid w:val="00901E91"/>
    <w:rsid w:val="00902204"/>
    <w:rsid w:val="00902B40"/>
    <w:rsid w:val="00902F4F"/>
    <w:rsid w:val="00902FDD"/>
    <w:rsid w:val="00903367"/>
    <w:rsid w:val="009033D8"/>
    <w:rsid w:val="009033F1"/>
    <w:rsid w:val="009036DD"/>
    <w:rsid w:val="00903B0B"/>
    <w:rsid w:val="00903BAC"/>
    <w:rsid w:val="00903C58"/>
    <w:rsid w:val="00904197"/>
    <w:rsid w:val="0090441A"/>
    <w:rsid w:val="00904E67"/>
    <w:rsid w:val="00904EC7"/>
    <w:rsid w:val="009051E3"/>
    <w:rsid w:val="00905311"/>
    <w:rsid w:val="0090548F"/>
    <w:rsid w:val="00905837"/>
    <w:rsid w:val="00905A17"/>
    <w:rsid w:val="00905A8C"/>
    <w:rsid w:val="00905C97"/>
    <w:rsid w:val="00905F24"/>
    <w:rsid w:val="009060FB"/>
    <w:rsid w:val="00906355"/>
    <w:rsid w:val="00906F24"/>
    <w:rsid w:val="0090741A"/>
    <w:rsid w:val="0090760D"/>
    <w:rsid w:val="00907D1D"/>
    <w:rsid w:val="0091056D"/>
    <w:rsid w:val="0091070F"/>
    <w:rsid w:val="00910CE4"/>
    <w:rsid w:val="00910E27"/>
    <w:rsid w:val="00910E86"/>
    <w:rsid w:val="009110A4"/>
    <w:rsid w:val="0091138F"/>
    <w:rsid w:val="009113E5"/>
    <w:rsid w:val="009117FA"/>
    <w:rsid w:val="00911CE0"/>
    <w:rsid w:val="00911E23"/>
    <w:rsid w:val="00911E31"/>
    <w:rsid w:val="00911ED1"/>
    <w:rsid w:val="00911EF0"/>
    <w:rsid w:val="00912220"/>
    <w:rsid w:val="00912495"/>
    <w:rsid w:val="0091275A"/>
    <w:rsid w:val="009128B5"/>
    <w:rsid w:val="00912C88"/>
    <w:rsid w:val="00913D28"/>
    <w:rsid w:val="00914D9F"/>
    <w:rsid w:val="0091581D"/>
    <w:rsid w:val="009158C4"/>
    <w:rsid w:val="00915D86"/>
    <w:rsid w:val="00915EB5"/>
    <w:rsid w:val="0091603C"/>
    <w:rsid w:val="009162DD"/>
    <w:rsid w:val="009167F1"/>
    <w:rsid w:val="009168CB"/>
    <w:rsid w:val="00916B4D"/>
    <w:rsid w:val="00916CDE"/>
    <w:rsid w:val="00916F42"/>
    <w:rsid w:val="00916FDD"/>
    <w:rsid w:val="009174F7"/>
    <w:rsid w:val="00917F24"/>
    <w:rsid w:val="00920244"/>
    <w:rsid w:val="00921008"/>
    <w:rsid w:val="009214BC"/>
    <w:rsid w:val="00921ADB"/>
    <w:rsid w:val="00921B19"/>
    <w:rsid w:val="00921EE8"/>
    <w:rsid w:val="009223F8"/>
    <w:rsid w:val="00922B21"/>
    <w:rsid w:val="00923D8C"/>
    <w:rsid w:val="00923DF3"/>
    <w:rsid w:val="00923EF8"/>
    <w:rsid w:val="0092415F"/>
    <w:rsid w:val="00924899"/>
    <w:rsid w:val="0092527B"/>
    <w:rsid w:val="009252E5"/>
    <w:rsid w:val="00925764"/>
    <w:rsid w:val="00925A69"/>
    <w:rsid w:val="00925B35"/>
    <w:rsid w:val="0092601F"/>
    <w:rsid w:val="0092685D"/>
    <w:rsid w:val="009268D0"/>
    <w:rsid w:val="009269EF"/>
    <w:rsid w:val="00926B6E"/>
    <w:rsid w:val="00927296"/>
    <w:rsid w:val="0092731C"/>
    <w:rsid w:val="0092774E"/>
    <w:rsid w:val="0092780C"/>
    <w:rsid w:val="00927AE5"/>
    <w:rsid w:val="00927DB6"/>
    <w:rsid w:val="00927DCF"/>
    <w:rsid w:val="00927E4C"/>
    <w:rsid w:val="00930421"/>
    <w:rsid w:val="00930581"/>
    <w:rsid w:val="00930744"/>
    <w:rsid w:val="0093105A"/>
    <w:rsid w:val="0093115F"/>
    <w:rsid w:val="00931593"/>
    <w:rsid w:val="0093178D"/>
    <w:rsid w:val="00932437"/>
    <w:rsid w:val="0093256A"/>
    <w:rsid w:val="00932950"/>
    <w:rsid w:val="009329B1"/>
    <w:rsid w:val="00932B4A"/>
    <w:rsid w:val="00933D3A"/>
    <w:rsid w:val="00934785"/>
    <w:rsid w:val="0093591B"/>
    <w:rsid w:val="0093605F"/>
    <w:rsid w:val="00936F54"/>
    <w:rsid w:val="00937800"/>
    <w:rsid w:val="0093785F"/>
    <w:rsid w:val="00937CE8"/>
    <w:rsid w:val="00940416"/>
    <w:rsid w:val="00940864"/>
    <w:rsid w:val="00940A54"/>
    <w:rsid w:val="00940B06"/>
    <w:rsid w:val="00941412"/>
    <w:rsid w:val="00941576"/>
    <w:rsid w:val="009415B6"/>
    <w:rsid w:val="00941B5A"/>
    <w:rsid w:val="00942B05"/>
    <w:rsid w:val="00942DF6"/>
    <w:rsid w:val="0094313C"/>
    <w:rsid w:val="00943150"/>
    <w:rsid w:val="00943F47"/>
    <w:rsid w:val="00944673"/>
    <w:rsid w:val="0094474F"/>
    <w:rsid w:val="00944DA6"/>
    <w:rsid w:val="00944E51"/>
    <w:rsid w:val="00945122"/>
    <w:rsid w:val="00945BED"/>
    <w:rsid w:val="00945F9A"/>
    <w:rsid w:val="00946175"/>
    <w:rsid w:val="009461AA"/>
    <w:rsid w:val="0094774B"/>
    <w:rsid w:val="0094794D"/>
    <w:rsid w:val="009479EA"/>
    <w:rsid w:val="00947A08"/>
    <w:rsid w:val="0095008D"/>
    <w:rsid w:val="009504B1"/>
    <w:rsid w:val="0095082E"/>
    <w:rsid w:val="00950893"/>
    <w:rsid w:val="00950A37"/>
    <w:rsid w:val="00950B88"/>
    <w:rsid w:val="00950FE2"/>
    <w:rsid w:val="009511D5"/>
    <w:rsid w:val="00952DC3"/>
    <w:rsid w:val="00953386"/>
    <w:rsid w:val="00953583"/>
    <w:rsid w:val="009536D0"/>
    <w:rsid w:val="00953763"/>
    <w:rsid w:val="00953765"/>
    <w:rsid w:val="0095382C"/>
    <w:rsid w:val="00953895"/>
    <w:rsid w:val="00953AC1"/>
    <w:rsid w:val="0095402F"/>
    <w:rsid w:val="00954080"/>
    <w:rsid w:val="00954216"/>
    <w:rsid w:val="00954339"/>
    <w:rsid w:val="009543E7"/>
    <w:rsid w:val="0095496F"/>
    <w:rsid w:val="00954A41"/>
    <w:rsid w:val="00954E01"/>
    <w:rsid w:val="00954F37"/>
    <w:rsid w:val="0095582F"/>
    <w:rsid w:val="00955F49"/>
    <w:rsid w:val="0095630D"/>
    <w:rsid w:val="00956623"/>
    <w:rsid w:val="0095695B"/>
    <w:rsid w:val="00956A7F"/>
    <w:rsid w:val="009572E6"/>
    <w:rsid w:val="0095745A"/>
    <w:rsid w:val="00957B52"/>
    <w:rsid w:val="00960068"/>
    <w:rsid w:val="009603DB"/>
    <w:rsid w:val="00960408"/>
    <w:rsid w:val="00960CC2"/>
    <w:rsid w:val="00960EC9"/>
    <w:rsid w:val="00960FF5"/>
    <w:rsid w:val="00961065"/>
    <w:rsid w:val="009614E3"/>
    <w:rsid w:val="009616C8"/>
    <w:rsid w:val="00961B5B"/>
    <w:rsid w:val="00961BC2"/>
    <w:rsid w:val="00961F5A"/>
    <w:rsid w:val="00962007"/>
    <w:rsid w:val="00962753"/>
    <w:rsid w:val="00962E92"/>
    <w:rsid w:val="00962EEA"/>
    <w:rsid w:val="009630D6"/>
    <w:rsid w:val="0096330C"/>
    <w:rsid w:val="009639AA"/>
    <w:rsid w:val="0096402B"/>
    <w:rsid w:val="0096409D"/>
    <w:rsid w:val="009645DD"/>
    <w:rsid w:val="00964716"/>
    <w:rsid w:val="00964755"/>
    <w:rsid w:val="00964D81"/>
    <w:rsid w:val="00964EC8"/>
    <w:rsid w:val="00964F0B"/>
    <w:rsid w:val="00965096"/>
    <w:rsid w:val="009653B3"/>
    <w:rsid w:val="00965E4D"/>
    <w:rsid w:val="0096609E"/>
    <w:rsid w:val="009661A7"/>
    <w:rsid w:val="00966DFD"/>
    <w:rsid w:val="009676A9"/>
    <w:rsid w:val="0096793E"/>
    <w:rsid w:val="00967A9D"/>
    <w:rsid w:val="00967F2D"/>
    <w:rsid w:val="0097030B"/>
    <w:rsid w:val="0097049A"/>
    <w:rsid w:val="009707EB"/>
    <w:rsid w:val="00970D37"/>
    <w:rsid w:val="00970D66"/>
    <w:rsid w:val="009710D3"/>
    <w:rsid w:val="0097110C"/>
    <w:rsid w:val="00971199"/>
    <w:rsid w:val="009719E5"/>
    <w:rsid w:val="00971A33"/>
    <w:rsid w:val="009720DA"/>
    <w:rsid w:val="00972EA1"/>
    <w:rsid w:val="009738D6"/>
    <w:rsid w:val="009739D2"/>
    <w:rsid w:val="00973C14"/>
    <w:rsid w:val="00973F09"/>
    <w:rsid w:val="009746AB"/>
    <w:rsid w:val="00974717"/>
    <w:rsid w:val="00974734"/>
    <w:rsid w:val="009748B7"/>
    <w:rsid w:val="009748C3"/>
    <w:rsid w:val="00974A2F"/>
    <w:rsid w:val="0097523A"/>
    <w:rsid w:val="00975492"/>
    <w:rsid w:val="00975653"/>
    <w:rsid w:val="00975702"/>
    <w:rsid w:val="00975E60"/>
    <w:rsid w:val="0097612C"/>
    <w:rsid w:val="009763E2"/>
    <w:rsid w:val="009767EC"/>
    <w:rsid w:val="00976992"/>
    <w:rsid w:val="00977944"/>
    <w:rsid w:val="00977A33"/>
    <w:rsid w:val="00977BD1"/>
    <w:rsid w:val="00977CDC"/>
    <w:rsid w:val="00977FA5"/>
    <w:rsid w:val="00980072"/>
    <w:rsid w:val="00980342"/>
    <w:rsid w:val="009811E0"/>
    <w:rsid w:val="009813D9"/>
    <w:rsid w:val="00981AA7"/>
    <w:rsid w:val="00981C57"/>
    <w:rsid w:val="00981E96"/>
    <w:rsid w:val="00981E98"/>
    <w:rsid w:val="009825B0"/>
    <w:rsid w:val="00982D2F"/>
    <w:rsid w:val="0098335F"/>
    <w:rsid w:val="00983499"/>
    <w:rsid w:val="0098374E"/>
    <w:rsid w:val="009839A2"/>
    <w:rsid w:val="009839CD"/>
    <w:rsid w:val="009843F8"/>
    <w:rsid w:val="00984461"/>
    <w:rsid w:val="009845F7"/>
    <w:rsid w:val="00984877"/>
    <w:rsid w:val="00984AE6"/>
    <w:rsid w:val="00984D89"/>
    <w:rsid w:val="00984F89"/>
    <w:rsid w:val="009855AA"/>
    <w:rsid w:val="009857A2"/>
    <w:rsid w:val="00985D26"/>
    <w:rsid w:val="0098632F"/>
    <w:rsid w:val="009869CB"/>
    <w:rsid w:val="00987334"/>
    <w:rsid w:val="0098774E"/>
    <w:rsid w:val="00987988"/>
    <w:rsid w:val="0099035A"/>
    <w:rsid w:val="009905C3"/>
    <w:rsid w:val="009906AD"/>
    <w:rsid w:val="00991BE9"/>
    <w:rsid w:val="0099237A"/>
    <w:rsid w:val="009923E0"/>
    <w:rsid w:val="00992727"/>
    <w:rsid w:val="0099299B"/>
    <w:rsid w:val="00992BE4"/>
    <w:rsid w:val="00992E02"/>
    <w:rsid w:val="0099308D"/>
    <w:rsid w:val="00993095"/>
    <w:rsid w:val="0099371F"/>
    <w:rsid w:val="00994C8C"/>
    <w:rsid w:val="0099508E"/>
    <w:rsid w:val="009955FC"/>
    <w:rsid w:val="00995AC0"/>
    <w:rsid w:val="009961B5"/>
    <w:rsid w:val="0099623E"/>
    <w:rsid w:val="0099678B"/>
    <w:rsid w:val="009967E2"/>
    <w:rsid w:val="00996CDD"/>
    <w:rsid w:val="0099700D"/>
    <w:rsid w:val="0099708B"/>
    <w:rsid w:val="00997790"/>
    <w:rsid w:val="009977B4"/>
    <w:rsid w:val="00997F05"/>
    <w:rsid w:val="009A0EB1"/>
    <w:rsid w:val="009A10DE"/>
    <w:rsid w:val="009A1317"/>
    <w:rsid w:val="009A150C"/>
    <w:rsid w:val="009A2879"/>
    <w:rsid w:val="009A297F"/>
    <w:rsid w:val="009A2ABE"/>
    <w:rsid w:val="009A328F"/>
    <w:rsid w:val="009A33C8"/>
    <w:rsid w:val="009A3602"/>
    <w:rsid w:val="009A3DDE"/>
    <w:rsid w:val="009A3EE7"/>
    <w:rsid w:val="009A42E3"/>
    <w:rsid w:val="009A565C"/>
    <w:rsid w:val="009A5BDA"/>
    <w:rsid w:val="009A5D67"/>
    <w:rsid w:val="009A605E"/>
    <w:rsid w:val="009A606C"/>
    <w:rsid w:val="009A60DB"/>
    <w:rsid w:val="009A69A1"/>
    <w:rsid w:val="009A6A01"/>
    <w:rsid w:val="009A7216"/>
    <w:rsid w:val="009A725E"/>
    <w:rsid w:val="009A7775"/>
    <w:rsid w:val="009A7C89"/>
    <w:rsid w:val="009A7CF8"/>
    <w:rsid w:val="009B06E6"/>
    <w:rsid w:val="009B06FC"/>
    <w:rsid w:val="009B076F"/>
    <w:rsid w:val="009B07BB"/>
    <w:rsid w:val="009B0962"/>
    <w:rsid w:val="009B0C30"/>
    <w:rsid w:val="009B11FD"/>
    <w:rsid w:val="009B120F"/>
    <w:rsid w:val="009B163C"/>
    <w:rsid w:val="009B1BD6"/>
    <w:rsid w:val="009B1F58"/>
    <w:rsid w:val="009B211F"/>
    <w:rsid w:val="009B2527"/>
    <w:rsid w:val="009B265B"/>
    <w:rsid w:val="009B27BD"/>
    <w:rsid w:val="009B28A9"/>
    <w:rsid w:val="009B298E"/>
    <w:rsid w:val="009B2A92"/>
    <w:rsid w:val="009B30FE"/>
    <w:rsid w:val="009B36CC"/>
    <w:rsid w:val="009B395F"/>
    <w:rsid w:val="009B4B58"/>
    <w:rsid w:val="009B5BD5"/>
    <w:rsid w:val="009B63CB"/>
    <w:rsid w:val="009B68A0"/>
    <w:rsid w:val="009B6960"/>
    <w:rsid w:val="009B69B0"/>
    <w:rsid w:val="009B6E61"/>
    <w:rsid w:val="009B6EE2"/>
    <w:rsid w:val="009B745E"/>
    <w:rsid w:val="009B762A"/>
    <w:rsid w:val="009B7D79"/>
    <w:rsid w:val="009C0443"/>
    <w:rsid w:val="009C06F5"/>
    <w:rsid w:val="009C0973"/>
    <w:rsid w:val="009C0CCC"/>
    <w:rsid w:val="009C0D90"/>
    <w:rsid w:val="009C0DFC"/>
    <w:rsid w:val="009C2302"/>
    <w:rsid w:val="009C25CB"/>
    <w:rsid w:val="009C26B5"/>
    <w:rsid w:val="009C33D6"/>
    <w:rsid w:val="009C4736"/>
    <w:rsid w:val="009C4AC5"/>
    <w:rsid w:val="009C4B10"/>
    <w:rsid w:val="009C4B67"/>
    <w:rsid w:val="009C4CE1"/>
    <w:rsid w:val="009C4DA1"/>
    <w:rsid w:val="009C50CA"/>
    <w:rsid w:val="009C519B"/>
    <w:rsid w:val="009C5E2D"/>
    <w:rsid w:val="009C5F4E"/>
    <w:rsid w:val="009C7138"/>
    <w:rsid w:val="009C72C5"/>
    <w:rsid w:val="009C7669"/>
    <w:rsid w:val="009C79F7"/>
    <w:rsid w:val="009D0402"/>
    <w:rsid w:val="009D0769"/>
    <w:rsid w:val="009D0EB1"/>
    <w:rsid w:val="009D2650"/>
    <w:rsid w:val="009D2F58"/>
    <w:rsid w:val="009D2FF5"/>
    <w:rsid w:val="009D3155"/>
    <w:rsid w:val="009D33EA"/>
    <w:rsid w:val="009D3702"/>
    <w:rsid w:val="009D3B30"/>
    <w:rsid w:val="009D3C1F"/>
    <w:rsid w:val="009D40FB"/>
    <w:rsid w:val="009D4329"/>
    <w:rsid w:val="009D432F"/>
    <w:rsid w:val="009D54BC"/>
    <w:rsid w:val="009D560F"/>
    <w:rsid w:val="009D5E5D"/>
    <w:rsid w:val="009D61F7"/>
    <w:rsid w:val="009D627D"/>
    <w:rsid w:val="009D66F5"/>
    <w:rsid w:val="009D6B28"/>
    <w:rsid w:val="009D72FE"/>
    <w:rsid w:val="009D735B"/>
    <w:rsid w:val="009D7A16"/>
    <w:rsid w:val="009D7B4F"/>
    <w:rsid w:val="009D7E0F"/>
    <w:rsid w:val="009E0367"/>
    <w:rsid w:val="009E0EC4"/>
    <w:rsid w:val="009E103C"/>
    <w:rsid w:val="009E133A"/>
    <w:rsid w:val="009E1539"/>
    <w:rsid w:val="009E1886"/>
    <w:rsid w:val="009E197B"/>
    <w:rsid w:val="009E19A7"/>
    <w:rsid w:val="009E1A51"/>
    <w:rsid w:val="009E20C0"/>
    <w:rsid w:val="009E2386"/>
    <w:rsid w:val="009E241F"/>
    <w:rsid w:val="009E25C3"/>
    <w:rsid w:val="009E2790"/>
    <w:rsid w:val="009E29D6"/>
    <w:rsid w:val="009E2B62"/>
    <w:rsid w:val="009E33DC"/>
    <w:rsid w:val="009E362E"/>
    <w:rsid w:val="009E36A2"/>
    <w:rsid w:val="009E37AC"/>
    <w:rsid w:val="009E394E"/>
    <w:rsid w:val="009E3979"/>
    <w:rsid w:val="009E3A0A"/>
    <w:rsid w:val="009E3A66"/>
    <w:rsid w:val="009E3ABC"/>
    <w:rsid w:val="009E3CE2"/>
    <w:rsid w:val="009E41E5"/>
    <w:rsid w:val="009E4301"/>
    <w:rsid w:val="009E479B"/>
    <w:rsid w:val="009E48E4"/>
    <w:rsid w:val="009E4AEE"/>
    <w:rsid w:val="009E512A"/>
    <w:rsid w:val="009E52D6"/>
    <w:rsid w:val="009E5439"/>
    <w:rsid w:val="009E5603"/>
    <w:rsid w:val="009E59CC"/>
    <w:rsid w:val="009E5F6F"/>
    <w:rsid w:val="009E610D"/>
    <w:rsid w:val="009E651E"/>
    <w:rsid w:val="009E72CD"/>
    <w:rsid w:val="009E78EE"/>
    <w:rsid w:val="009E7D9B"/>
    <w:rsid w:val="009E7DDD"/>
    <w:rsid w:val="009F02FF"/>
    <w:rsid w:val="009F0574"/>
    <w:rsid w:val="009F084E"/>
    <w:rsid w:val="009F0C93"/>
    <w:rsid w:val="009F1243"/>
    <w:rsid w:val="009F1E9C"/>
    <w:rsid w:val="009F22B8"/>
    <w:rsid w:val="009F2413"/>
    <w:rsid w:val="009F2A17"/>
    <w:rsid w:val="009F3418"/>
    <w:rsid w:val="009F34CC"/>
    <w:rsid w:val="009F3746"/>
    <w:rsid w:val="009F3835"/>
    <w:rsid w:val="009F3ACF"/>
    <w:rsid w:val="009F423A"/>
    <w:rsid w:val="009F4581"/>
    <w:rsid w:val="009F485E"/>
    <w:rsid w:val="009F496E"/>
    <w:rsid w:val="009F4972"/>
    <w:rsid w:val="009F4B8F"/>
    <w:rsid w:val="009F4E10"/>
    <w:rsid w:val="009F52CC"/>
    <w:rsid w:val="009F53C0"/>
    <w:rsid w:val="009F5770"/>
    <w:rsid w:val="009F57D5"/>
    <w:rsid w:val="009F598C"/>
    <w:rsid w:val="009F59C9"/>
    <w:rsid w:val="009F5FA6"/>
    <w:rsid w:val="009F6036"/>
    <w:rsid w:val="009F6100"/>
    <w:rsid w:val="009F66A1"/>
    <w:rsid w:val="009F6A64"/>
    <w:rsid w:val="009F7098"/>
    <w:rsid w:val="009F72D9"/>
    <w:rsid w:val="009F73DD"/>
    <w:rsid w:val="009F74AF"/>
    <w:rsid w:val="009F7C1E"/>
    <w:rsid w:val="009F7D87"/>
    <w:rsid w:val="00A00113"/>
    <w:rsid w:val="00A002C2"/>
    <w:rsid w:val="00A0050B"/>
    <w:rsid w:val="00A009A1"/>
    <w:rsid w:val="00A00FEB"/>
    <w:rsid w:val="00A014E5"/>
    <w:rsid w:val="00A01977"/>
    <w:rsid w:val="00A01B84"/>
    <w:rsid w:val="00A01E86"/>
    <w:rsid w:val="00A026F5"/>
    <w:rsid w:val="00A02C2E"/>
    <w:rsid w:val="00A031E3"/>
    <w:rsid w:val="00A032BD"/>
    <w:rsid w:val="00A034A4"/>
    <w:rsid w:val="00A03D76"/>
    <w:rsid w:val="00A03E98"/>
    <w:rsid w:val="00A03F05"/>
    <w:rsid w:val="00A044FE"/>
    <w:rsid w:val="00A04B1D"/>
    <w:rsid w:val="00A04EE6"/>
    <w:rsid w:val="00A05398"/>
    <w:rsid w:val="00A056F0"/>
    <w:rsid w:val="00A0571E"/>
    <w:rsid w:val="00A062CB"/>
    <w:rsid w:val="00A065B8"/>
    <w:rsid w:val="00A06618"/>
    <w:rsid w:val="00A068F9"/>
    <w:rsid w:val="00A069BE"/>
    <w:rsid w:val="00A0764E"/>
    <w:rsid w:val="00A076FD"/>
    <w:rsid w:val="00A07777"/>
    <w:rsid w:val="00A07FA0"/>
    <w:rsid w:val="00A105BB"/>
    <w:rsid w:val="00A106BE"/>
    <w:rsid w:val="00A108D9"/>
    <w:rsid w:val="00A10C0A"/>
    <w:rsid w:val="00A10D47"/>
    <w:rsid w:val="00A10E28"/>
    <w:rsid w:val="00A11656"/>
    <w:rsid w:val="00A118E6"/>
    <w:rsid w:val="00A11B02"/>
    <w:rsid w:val="00A120EC"/>
    <w:rsid w:val="00A12154"/>
    <w:rsid w:val="00A12AB9"/>
    <w:rsid w:val="00A12CE9"/>
    <w:rsid w:val="00A12DC2"/>
    <w:rsid w:val="00A130FC"/>
    <w:rsid w:val="00A13293"/>
    <w:rsid w:val="00A13451"/>
    <w:rsid w:val="00A134AF"/>
    <w:rsid w:val="00A13642"/>
    <w:rsid w:val="00A13C7B"/>
    <w:rsid w:val="00A13F49"/>
    <w:rsid w:val="00A148A6"/>
    <w:rsid w:val="00A14E1D"/>
    <w:rsid w:val="00A1593A"/>
    <w:rsid w:val="00A159FB"/>
    <w:rsid w:val="00A15B9C"/>
    <w:rsid w:val="00A16124"/>
    <w:rsid w:val="00A161D4"/>
    <w:rsid w:val="00A16280"/>
    <w:rsid w:val="00A1637F"/>
    <w:rsid w:val="00A168D8"/>
    <w:rsid w:val="00A177DE"/>
    <w:rsid w:val="00A17C73"/>
    <w:rsid w:val="00A20159"/>
    <w:rsid w:val="00A20223"/>
    <w:rsid w:val="00A204ED"/>
    <w:rsid w:val="00A209EC"/>
    <w:rsid w:val="00A21B8F"/>
    <w:rsid w:val="00A21D5C"/>
    <w:rsid w:val="00A22265"/>
    <w:rsid w:val="00A2285F"/>
    <w:rsid w:val="00A22A4A"/>
    <w:rsid w:val="00A22B12"/>
    <w:rsid w:val="00A23514"/>
    <w:rsid w:val="00A23C0A"/>
    <w:rsid w:val="00A23CA2"/>
    <w:rsid w:val="00A23F21"/>
    <w:rsid w:val="00A24199"/>
    <w:rsid w:val="00A249E0"/>
    <w:rsid w:val="00A24B30"/>
    <w:rsid w:val="00A24BDA"/>
    <w:rsid w:val="00A24EE8"/>
    <w:rsid w:val="00A2585C"/>
    <w:rsid w:val="00A25C94"/>
    <w:rsid w:val="00A269B5"/>
    <w:rsid w:val="00A27789"/>
    <w:rsid w:val="00A27A83"/>
    <w:rsid w:val="00A30080"/>
    <w:rsid w:val="00A301A3"/>
    <w:rsid w:val="00A3093A"/>
    <w:rsid w:val="00A30C7C"/>
    <w:rsid w:val="00A30CCE"/>
    <w:rsid w:val="00A30D52"/>
    <w:rsid w:val="00A30D72"/>
    <w:rsid w:val="00A30DB7"/>
    <w:rsid w:val="00A3106A"/>
    <w:rsid w:val="00A31104"/>
    <w:rsid w:val="00A314E7"/>
    <w:rsid w:val="00A31FC2"/>
    <w:rsid w:val="00A327F2"/>
    <w:rsid w:val="00A32B60"/>
    <w:rsid w:val="00A32D60"/>
    <w:rsid w:val="00A32E35"/>
    <w:rsid w:val="00A33066"/>
    <w:rsid w:val="00A331A5"/>
    <w:rsid w:val="00A3386C"/>
    <w:rsid w:val="00A3387F"/>
    <w:rsid w:val="00A33940"/>
    <w:rsid w:val="00A339BC"/>
    <w:rsid w:val="00A33A25"/>
    <w:rsid w:val="00A33ADA"/>
    <w:rsid w:val="00A33E0E"/>
    <w:rsid w:val="00A33EA3"/>
    <w:rsid w:val="00A347AA"/>
    <w:rsid w:val="00A347D0"/>
    <w:rsid w:val="00A34CA0"/>
    <w:rsid w:val="00A34DFD"/>
    <w:rsid w:val="00A35096"/>
    <w:rsid w:val="00A35499"/>
    <w:rsid w:val="00A35525"/>
    <w:rsid w:val="00A3556E"/>
    <w:rsid w:val="00A358F6"/>
    <w:rsid w:val="00A35AA9"/>
    <w:rsid w:val="00A35AD7"/>
    <w:rsid w:val="00A35E74"/>
    <w:rsid w:val="00A36684"/>
    <w:rsid w:val="00A36923"/>
    <w:rsid w:val="00A36B0E"/>
    <w:rsid w:val="00A37017"/>
    <w:rsid w:val="00A370E7"/>
    <w:rsid w:val="00A3757D"/>
    <w:rsid w:val="00A40049"/>
    <w:rsid w:val="00A4037E"/>
    <w:rsid w:val="00A40974"/>
    <w:rsid w:val="00A40A70"/>
    <w:rsid w:val="00A41518"/>
    <w:rsid w:val="00A415CE"/>
    <w:rsid w:val="00A41780"/>
    <w:rsid w:val="00A417C0"/>
    <w:rsid w:val="00A41AE0"/>
    <w:rsid w:val="00A41C4D"/>
    <w:rsid w:val="00A4232A"/>
    <w:rsid w:val="00A425F0"/>
    <w:rsid w:val="00A4295A"/>
    <w:rsid w:val="00A42D06"/>
    <w:rsid w:val="00A42D5B"/>
    <w:rsid w:val="00A432CB"/>
    <w:rsid w:val="00A43317"/>
    <w:rsid w:val="00A433E3"/>
    <w:rsid w:val="00A434C9"/>
    <w:rsid w:val="00A43D91"/>
    <w:rsid w:val="00A44209"/>
    <w:rsid w:val="00A44260"/>
    <w:rsid w:val="00A44723"/>
    <w:rsid w:val="00A447C5"/>
    <w:rsid w:val="00A44B0F"/>
    <w:rsid w:val="00A44D57"/>
    <w:rsid w:val="00A450A4"/>
    <w:rsid w:val="00A456F9"/>
    <w:rsid w:val="00A458BE"/>
    <w:rsid w:val="00A458D6"/>
    <w:rsid w:val="00A45AA3"/>
    <w:rsid w:val="00A45BD7"/>
    <w:rsid w:val="00A45E47"/>
    <w:rsid w:val="00A46974"/>
    <w:rsid w:val="00A46C91"/>
    <w:rsid w:val="00A47330"/>
    <w:rsid w:val="00A4751D"/>
    <w:rsid w:val="00A47A45"/>
    <w:rsid w:val="00A50283"/>
    <w:rsid w:val="00A50737"/>
    <w:rsid w:val="00A5088F"/>
    <w:rsid w:val="00A50ED6"/>
    <w:rsid w:val="00A5124A"/>
    <w:rsid w:val="00A51A5E"/>
    <w:rsid w:val="00A52242"/>
    <w:rsid w:val="00A52277"/>
    <w:rsid w:val="00A523AB"/>
    <w:rsid w:val="00A52A05"/>
    <w:rsid w:val="00A52C63"/>
    <w:rsid w:val="00A52F3B"/>
    <w:rsid w:val="00A53394"/>
    <w:rsid w:val="00A5397B"/>
    <w:rsid w:val="00A54127"/>
    <w:rsid w:val="00A549F4"/>
    <w:rsid w:val="00A5596D"/>
    <w:rsid w:val="00A55AEE"/>
    <w:rsid w:val="00A55EF9"/>
    <w:rsid w:val="00A563A3"/>
    <w:rsid w:val="00A566B1"/>
    <w:rsid w:val="00A56BBE"/>
    <w:rsid w:val="00A579D0"/>
    <w:rsid w:val="00A57B9F"/>
    <w:rsid w:val="00A6020C"/>
    <w:rsid w:val="00A6030B"/>
    <w:rsid w:val="00A604FC"/>
    <w:rsid w:val="00A605BC"/>
    <w:rsid w:val="00A6081F"/>
    <w:rsid w:val="00A60915"/>
    <w:rsid w:val="00A60E3B"/>
    <w:rsid w:val="00A60EDA"/>
    <w:rsid w:val="00A60FDC"/>
    <w:rsid w:val="00A61428"/>
    <w:rsid w:val="00A6148C"/>
    <w:rsid w:val="00A61514"/>
    <w:rsid w:val="00A61A32"/>
    <w:rsid w:val="00A61A91"/>
    <w:rsid w:val="00A61EC5"/>
    <w:rsid w:val="00A62915"/>
    <w:rsid w:val="00A62A9F"/>
    <w:rsid w:val="00A62D10"/>
    <w:rsid w:val="00A62E3F"/>
    <w:rsid w:val="00A63643"/>
    <w:rsid w:val="00A638E1"/>
    <w:rsid w:val="00A63BB2"/>
    <w:rsid w:val="00A63EB4"/>
    <w:rsid w:val="00A641E7"/>
    <w:rsid w:val="00A64664"/>
    <w:rsid w:val="00A646D2"/>
    <w:rsid w:val="00A64883"/>
    <w:rsid w:val="00A64C32"/>
    <w:rsid w:val="00A64D96"/>
    <w:rsid w:val="00A65425"/>
    <w:rsid w:val="00A65BA0"/>
    <w:rsid w:val="00A65EE3"/>
    <w:rsid w:val="00A65F9F"/>
    <w:rsid w:val="00A65FB4"/>
    <w:rsid w:val="00A66C90"/>
    <w:rsid w:val="00A66E6F"/>
    <w:rsid w:val="00A66F64"/>
    <w:rsid w:val="00A67083"/>
    <w:rsid w:val="00A67234"/>
    <w:rsid w:val="00A672C4"/>
    <w:rsid w:val="00A677E8"/>
    <w:rsid w:val="00A678C9"/>
    <w:rsid w:val="00A67AF9"/>
    <w:rsid w:val="00A67BD7"/>
    <w:rsid w:val="00A70745"/>
    <w:rsid w:val="00A70760"/>
    <w:rsid w:val="00A71123"/>
    <w:rsid w:val="00A713E9"/>
    <w:rsid w:val="00A7157E"/>
    <w:rsid w:val="00A7171E"/>
    <w:rsid w:val="00A71894"/>
    <w:rsid w:val="00A71E65"/>
    <w:rsid w:val="00A7210B"/>
    <w:rsid w:val="00A729F3"/>
    <w:rsid w:val="00A72A11"/>
    <w:rsid w:val="00A73140"/>
    <w:rsid w:val="00A73162"/>
    <w:rsid w:val="00A73185"/>
    <w:rsid w:val="00A73B7E"/>
    <w:rsid w:val="00A7491F"/>
    <w:rsid w:val="00A74B62"/>
    <w:rsid w:val="00A751D1"/>
    <w:rsid w:val="00A757D6"/>
    <w:rsid w:val="00A75846"/>
    <w:rsid w:val="00A760CE"/>
    <w:rsid w:val="00A7645B"/>
    <w:rsid w:val="00A7671E"/>
    <w:rsid w:val="00A76901"/>
    <w:rsid w:val="00A76D3C"/>
    <w:rsid w:val="00A76E91"/>
    <w:rsid w:val="00A771B9"/>
    <w:rsid w:val="00A7750A"/>
    <w:rsid w:val="00A77698"/>
    <w:rsid w:val="00A802F7"/>
    <w:rsid w:val="00A80332"/>
    <w:rsid w:val="00A8043E"/>
    <w:rsid w:val="00A807A8"/>
    <w:rsid w:val="00A811F0"/>
    <w:rsid w:val="00A81765"/>
    <w:rsid w:val="00A8188B"/>
    <w:rsid w:val="00A818E8"/>
    <w:rsid w:val="00A82205"/>
    <w:rsid w:val="00A82838"/>
    <w:rsid w:val="00A8309F"/>
    <w:rsid w:val="00A834F0"/>
    <w:rsid w:val="00A837B3"/>
    <w:rsid w:val="00A83853"/>
    <w:rsid w:val="00A83BF6"/>
    <w:rsid w:val="00A83C44"/>
    <w:rsid w:val="00A83D3E"/>
    <w:rsid w:val="00A83DE6"/>
    <w:rsid w:val="00A8433A"/>
    <w:rsid w:val="00A847BE"/>
    <w:rsid w:val="00A84A0D"/>
    <w:rsid w:val="00A84A8E"/>
    <w:rsid w:val="00A84C23"/>
    <w:rsid w:val="00A84F8D"/>
    <w:rsid w:val="00A8500A"/>
    <w:rsid w:val="00A8533B"/>
    <w:rsid w:val="00A85735"/>
    <w:rsid w:val="00A85908"/>
    <w:rsid w:val="00A85948"/>
    <w:rsid w:val="00A86252"/>
    <w:rsid w:val="00A86B6C"/>
    <w:rsid w:val="00A86C9A"/>
    <w:rsid w:val="00A87023"/>
    <w:rsid w:val="00A8741D"/>
    <w:rsid w:val="00A874A2"/>
    <w:rsid w:val="00A875CA"/>
    <w:rsid w:val="00A877FB"/>
    <w:rsid w:val="00A878DF"/>
    <w:rsid w:val="00A8797E"/>
    <w:rsid w:val="00A87A87"/>
    <w:rsid w:val="00A87C27"/>
    <w:rsid w:val="00A87E7D"/>
    <w:rsid w:val="00A90811"/>
    <w:rsid w:val="00A90A95"/>
    <w:rsid w:val="00A90FD6"/>
    <w:rsid w:val="00A91082"/>
    <w:rsid w:val="00A914AA"/>
    <w:rsid w:val="00A918E8"/>
    <w:rsid w:val="00A919CC"/>
    <w:rsid w:val="00A9382B"/>
    <w:rsid w:val="00A939C0"/>
    <w:rsid w:val="00A94DD4"/>
    <w:rsid w:val="00A951AF"/>
    <w:rsid w:val="00A951D3"/>
    <w:rsid w:val="00A95592"/>
    <w:rsid w:val="00A95A4D"/>
    <w:rsid w:val="00A95A70"/>
    <w:rsid w:val="00A964AA"/>
    <w:rsid w:val="00A9659C"/>
    <w:rsid w:val="00A9732B"/>
    <w:rsid w:val="00A97475"/>
    <w:rsid w:val="00A974C5"/>
    <w:rsid w:val="00A97B07"/>
    <w:rsid w:val="00A97FFB"/>
    <w:rsid w:val="00AA0AF2"/>
    <w:rsid w:val="00AA103D"/>
    <w:rsid w:val="00AA14FC"/>
    <w:rsid w:val="00AA2798"/>
    <w:rsid w:val="00AA2868"/>
    <w:rsid w:val="00AA2CA5"/>
    <w:rsid w:val="00AA35D1"/>
    <w:rsid w:val="00AA374D"/>
    <w:rsid w:val="00AA37E3"/>
    <w:rsid w:val="00AA37E4"/>
    <w:rsid w:val="00AA3B11"/>
    <w:rsid w:val="00AA3EB0"/>
    <w:rsid w:val="00AA41DA"/>
    <w:rsid w:val="00AA46A6"/>
    <w:rsid w:val="00AA46D7"/>
    <w:rsid w:val="00AA4A87"/>
    <w:rsid w:val="00AA4CDC"/>
    <w:rsid w:val="00AA553F"/>
    <w:rsid w:val="00AA5640"/>
    <w:rsid w:val="00AA5707"/>
    <w:rsid w:val="00AA593A"/>
    <w:rsid w:val="00AA63B3"/>
    <w:rsid w:val="00AA63FC"/>
    <w:rsid w:val="00AA6411"/>
    <w:rsid w:val="00AA6A71"/>
    <w:rsid w:val="00AA6D80"/>
    <w:rsid w:val="00AA6EE2"/>
    <w:rsid w:val="00AA6FC4"/>
    <w:rsid w:val="00AA726B"/>
    <w:rsid w:val="00AA7BE8"/>
    <w:rsid w:val="00AA7ED1"/>
    <w:rsid w:val="00AB0454"/>
    <w:rsid w:val="00AB0629"/>
    <w:rsid w:val="00AB114D"/>
    <w:rsid w:val="00AB1925"/>
    <w:rsid w:val="00AB1D22"/>
    <w:rsid w:val="00AB1D5B"/>
    <w:rsid w:val="00AB217B"/>
    <w:rsid w:val="00AB253F"/>
    <w:rsid w:val="00AB2806"/>
    <w:rsid w:val="00AB299C"/>
    <w:rsid w:val="00AB2BB8"/>
    <w:rsid w:val="00AB2CBF"/>
    <w:rsid w:val="00AB32D8"/>
    <w:rsid w:val="00AB3841"/>
    <w:rsid w:val="00AB38B6"/>
    <w:rsid w:val="00AB3F52"/>
    <w:rsid w:val="00AB3FE0"/>
    <w:rsid w:val="00AB425D"/>
    <w:rsid w:val="00AB42D7"/>
    <w:rsid w:val="00AB42EE"/>
    <w:rsid w:val="00AB44CC"/>
    <w:rsid w:val="00AB45F1"/>
    <w:rsid w:val="00AB4643"/>
    <w:rsid w:val="00AB4B41"/>
    <w:rsid w:val="00AB4DAA"/>
    <w:rsid w:val="00AB4F5C"/>
    <w:rsid w:val="00AB51AF"/>
    <w:rsid w:val="00AB5A62"/>
    <w:rsid w:val="00AB67B1"/>
    <w:rsid w:val="00AB67D7"/>
    <w:rsid w:val="00AB6D0F"/>
    <w:rsid w:val="00AB6EE1"/>
    <w:rsid w:val="00AB7652"/>
    <w:rsid w:val="00AB78B2"/>
    <w:rsid w:val="00AC04E4"/>
    <w:rsid w:val="00AC04E5"/>
    <w:rsid w:val="00AC0A70"/>
    <w:rsid w:val="00AC0C16"/>
    <w:rsid w:val="00AC0F83"/>
    <w:rsid w:val="00AC0FB5"/>
    <w:rsid w:val="00AC14E6"/>
    <w:rsid w:val="00AC15CC"/>
    <w:rsid w:val="00AC16DF"/>
    <w:rsid w:val="00AC1DDE"/>
    <w:rsid w:val="00AC1E4A"/>
    <w:rsid w:val="00AC2210"/>
    <w:rsid w:val="00AC2425"/>
    <w:rsid w:val="00AC3463"/>
    <w:rsid w:val="00AC398C"/>
    <w:rsid w:val="00AC39C1"/>
    <w:rsid w:val="00AC3A2E"/>
    <w:rsid w:val="00AC3D6A"/>
    <w:rsid w:val="00AC40D6"/>
    <w:rsid w:val="00AC41EC"/>
    <w:rsid w:val="00AC4279"/>
    <w:rsid w:val="00AC4B5B"/>
    <w:rsid w:val="00AC4C23"/>
    <w:rsid w:val="00AC4CDB"/>
    <w:rsid w:val="00AC4F79"/>
    <w:rsid w:val="00AC51A6"/>
    <w:rsid w:val="00AC5A31"/>
    <w:rsid w:val="00AC5C84"/>
    <w:rsid w:val="00AC5FD1"/>
    <w:rsid w:val="00AC60BE"/>
    <w:rsid w:val="00AC62D5"/>
    <w:rsid w:val="00AC654D"/>
    <w:rsid w:val="00AC6566"/>
    <w:rsid w:val="00AC656F"/>
    <w:rsid w:val="00AC689E"/>
    <w:rsid w:val="00AC6FA5"/>
    <w:rsid w:val="00AC71B9"/>
    <w:rsid w:val="00AC7D9C"/>
    <w:rsid w:val="00AD023B"/>
    <w:rsid w:val="00AD0267"/>
    <w:rsid w:val="00AD0772"/>
    <w:rsid w:val="00AD0C99"/>
    <w:rsid w:val="00AD1278"/>
    <w:rsid w:val="00AD19C9"/>
    <w:rsid w:val="00AD1ABB"/>
    <w:rsid w:val="00AD2036"/>
    <w:rsid w:val="00AD2193"/>
    <w:rsid w:val="00AD2BE0"/>
    <w:rsid w:val="00AD2E89"/>
    <w:rsid w:val="00AD302D"/>
    <w:rsid w:val="00AD3545"/>
    <w:rsid w:val="00AD39FF"/>
    <w:rsid w:val="00AD3E33"/>
    <w:rsid w:val="00AD407A"/>
    <w:rsid w:val="00AD45C6"/>
    <w:rsid w:val="00AD465A"/>
    <w:rsid w:val="00AD46D0"/>
    <w:rsid w:val="00AD4A18"/>
    <w:rsid w:val="00AD4B0E"/>
    <w:rsid w:val="00AD4D24"/>
    <w:rsid w:val="00AD4F31"/>
    <w:rsid w:val="00AD552F"/>
    <w:rsid w:val="00AD59AD"/>
    <w:rsid w:val="00AD5A92"/>
    <w:rsid w:val="00AD5BF6"/>
    <w:rsid w:val="00AD5DAC"/>
    <w:rsid w:val="00AD5DC7"/>
    <w:rsid w:val="00AD5EBF"/>
    <w:rsid w:val="00AD6147"/>
    <w:rsid w:val="00AD64BE"/>
    <w:rsid w:val="00AD67E9"/>
    <w:rsid w:val="00AD6B0F"/>
    <w:rsid w:val="00AD6CD4"/>
    <w:rsid w:val="00AD6E88"/>
    <w:rsid w:val="00AD791D"/>
    <w:rsid w:val="00AD7BDC"/>
    <w:rsid w:val="00AE010F"/>
    <w:rsid w:val="00AE01C2"/>
    <w:rsid w:val="00AE02C8"/>
    <w:rsid w:val="00AE0840"/>
    <w:rsid w:val="00AE0DC4"/>
    <w:rsid w:val="00AE12AF"/>
    <w:rsid w:val="00AE13D0"/>
    <w:rsid w:val="00AE1459"/>
    <w:rsid w:val="00AE1E2E"/>
    <w:rsid w:val="00AE22BB"/>
    <w:rsid w:val="00AE282C"/>
    <w:rsid w:val="00AE2C06"/>
    <w:rsid w:val="00AE33E5"/>
    <w:rsid w:val="00AE3AD1"/>
    <w:rsid w:val="00AE4511"/>
    <w:rsid w:val="00AE454C"/>
    <w:rsid w:val="00AE4EF3"/>
    <w:rsid w:val="00AE600C"/>
    <w:rsid w:val="00AE6398"/>
    <w:rsid w:val="00AE714A"/>
    <w:rsid w:val="00AE76F8"/>
    <w:rsid w:val="00AE7F43"/>
    <w:rsid w:val="00AF0140"/>
    <w:rsid w:val="00AF0150"/>
    <w:rsid w:val="00AF0553"/>
    <w:rsid w:val="00AF1BC8"/>
    <w:rsid w:val="00AF1C79"/>
    <w:rsid w:val="00AF266B"/>
    <w:rsid w:val="00AF2C6D"/>
    <w:rsid w:val="00AF2DAB"/>
    <w:rsid w:val="00AF35FA"/>
    <w:rsid w:val="00AF3750"/>
    <w:rsid w:val="00AF3904"/>
    <w:rsid w:val="00AF3B3D"/>
    <w:rsid w:val="00AF40C4"/>
    <w:rsid w:val="00AF42FF"/>
    <w:rsid w:val="00AF4311"/>
    <w:rsid w:val="00AF44C9"/>
    <w:rsid w:val="00AF46A7"/>
    <w:rsid w:val="00AF47B1"/>
    <w:rsid w:val="00AF4A00"/>
    <w:rsid w:val="00AF4D4C"/>
    <w:rsid w:val="00AF50E9"/>
    <w:rsid w:val="00AF5321"/>
    <w:rsid w:val="00AF616B"/>
    <w:rsid w:val="00AF7816"/>
    <w:rsid w:val="00AF7AFF"/>
    <w:rsid w:val="00B00A51"/>
    <w:rsid w:val="00B00C66"/>
    <w:rsid w:val="00B0133B"/>
    <w:rsid w:val="00B013F3"/>
    <w:rsid w:val="00B018E1"/>
    <w:rsid w:val="00B01BBE"/>
    <w:rsid w:val="00B01CBE"/>
    <w:rsid w:val="00B0221C"/>
    <w:rsid w:val="00B02592"/>
    <w:rsid w:val="00B04031"/>
    <w:rsid w:val="00B04088"/>
    <w:rsid w:val="00B04417"/>
    <w:rsid w:val="00B04522"/>
    <w:rsid w:val="00B045A0"/>
    <w:rsid w:val="00B049AA"/>
    <w:rsid w:val="00B04C23"/>
    <w:rsid w:val="00B04FFE"/>
    <w:rsid w:val="00B06F4D"/>
    <w:rsid w:val="00B07136"/>
    <w:rsid w:val="00B072DC"/>
    <w:rsid w:val="00B07AF3"/>
    <w:rsid w:val="00B10177"/>
    <w:rsid w:val="00B1028B"/>
    <w:rsid w:val="00B10A72"/>
    <w:rsid w:val="00B10B1A"/>
    <w:rsid w:val="00B111CA"/>
    <w:rsid w:val="00B11402"/>
    <w:rsid w:val="00B116B4"/>
    <w:rsid w:val="00B11A81"/>
    <w:rsid w:val="00B11B15"/>
    <w:rsid w:val="00B11B37"/>
    <w:rsid w:val="00B12469"/>
    <w:rsid w:val="00B126D3"/>
    <w:rsid w:val="00B12964"/>
    <w:rsid w:val="00B12BF0"/>
    <w:rsid w:val="00B130A7"/>
    <w:rsid w:val="00B131BE"/>
    <w:rsid w:val="00B13420"/>
    <w:rsid w:val="00B13CF0"/>
    <w:rsid w:val="00B13E81"/>
    <w:rsid w:val="00B142E5"/>
    <w:rsid w:val="00B142F2"/>
    <w:rsid w:val="00B1475F"/>
    <w:rsid w:val="00B14785"/>
    <w:rsid w:val="00B14BA4"/>
    <w:rsid w:val="00B1511B"/>
    <w:rsid w:val="00B1581B"/>
    <w:rsid w:val="00B15ADE"/>
    <w:rsid w:val="00B160A6"/>
    <w:rsid w:val="00B165E6"/>
    <w:rsid w:val="00B165F8"/>
    <w:rsid w:val="00B1671A"/>
    <w:rsid w:val="00B1674B"/>
    <w:rsid w:val="00B16A3D"/>
    <w:rsid w:val="00B17594"/>
    <w:rsid w:val="00B1793D"/>
    <w:rsid w:val="00B17BB0"/>
    <w:rsid w:val="00B17ED1"/>
    <w:rsid w:val="00B17FB8"/>
    <w:rsid w:val="00B2046D"/>
    <w:rsid w:val="00B20544"/>
    <w:rsid w:val="00B20CD3"/>
    <w:rsid w:val="00B21332"/>
    <w:rsid w:val="00B2148B"/>
    <w:rsid w:val="00B21791"/>
    <w:rsid w:val="00B21A5B"/>
    <w:rsid w:val="00B21E9B"/>
    <w:rsid w:val="00B229BB"/>
    <w:rsid w:val="00B229CF"/>
    <w:rsid w:val="00B22C58"/>
    <w:rsid w:val="00B2302E"/>
    <w:rsid w:val="00B23144"/>
    <w:rsid w:val="00B232FE"/>
    <w:rsid w:val="00B239B9"/>
    <w:rsid w:val="00B23AC7"/>
    <w:rsid w:val="00B23C1D"/>
    <w:rsid w:val="00B23E0C"/>
    <w:rsid w:val="00B24736"/>
    <w:rsid w:val="00B24A0D"/>
    <w:rsid w:val="00B24C83"/>
    <w:rsid w:val="00B25206"/>
    <w:rsid w:val="00B26054"/>
    <w:rsid w:val="00B26622"/>
    <w:rsid w:val="00B2685C"/>
    <w:rsid w:val="00B2698B"/>
    <w:rsid w:val="00B26B24"/>
    <w:rsid w:val="00B26F48"/>
    <w:rsid w:val="00B27127"/>
    <w:rsid w:val="00B27549"/>
    <w:rsid w:val="00B27813"/>
    <w:rsid w:val="00B27895"/>
    <w:rsid w:val="00B27910"/>
    <w:rsid w:val="00B27A1E"/>
    <w:rsid w:val="00B27FA7"/>
    <w:rsid w:val="00B3007B"/>
    <w:rsid w:val="00B305A4"/>
    <w:rsid w:val="00B3106C"/>
    <w:rsid w:val="00B31682"/>
    <w:rsid w:val="00B31888"/>
    <w:rsid w:val="00B31A90"/>
    <w:rsid w:val="00B31B23"/>
    <w:rsid w:val="00B31F80"/>
    <w:rsid w:val="00B32524"/>
    <w:rsid w:val="00B3331F"/>
    <w:rsid w:val="00B33A7C"/>
    <w:rsid w:val="00B346AA"/>
    <w:rsid w:val="00B34833"/>
    <w:rsid w:val="00B34B55"/>
    <w:rsid w:val="00B35520"/>
    <w:rsid w:val="00B35529"/>
    <w:rsid w:val="00B3553E"/>
    <w:rsid w:val="00B358C5"/>
    <w:rsid w:val="00B35A2D"/>
    <w:rsid w:val="00B3602F"/>
    <w:rsid w:val="00B364B4"/>
    <w:rsid w:val="00B36C7D"/>
    <w:rsid w:val="00B372E3"/>
    <w:rsid w:val="00B37698"/>
    <w:rsid w:val="00B37AE1"/>
    <w:rsid w:val="00B37E28"/>
    <w:rsid w:val="00B40042"/>
    <w:rsid w:val="00B4009B"/>
    <w:rsid w:val="00B401A0"/>
    <w:rsid w:val="00B4021D"/>
    <w:rsid w:val="00B40A3B"/>
    <w:rsid w:val="00B410A6"/>
    <w:rsid w:val="00B41327"/>
    <w:rsid w:val="00B413F2"/>
    <w:rsid w:val="00B418D5"/>
    <w:rsid w:val="00B41B07"/>
    <w:rsid w:val="00B421A9"/>
    <w:rsid w:val="00B421C8"/>
    <w:rsid w:val="00B4228B"/>
    <w:rsid w:val="00B42735"/>
    <w:rsid w:val="00B42B88"/>
    <w:rsid w:val="00B42C24"/>
    <w:rsid w:val="00B43095"/>
    <w:rsid w:val="00B4359A"/>
    <w:rsid w:val="00B4383D"/>
    <w:rsid w:val="00B43845"/>
    <w:rsid w:val="00B43BAE"/>
    <w:rsid w:val="00B4409D"/>
    <w:rsid w:val="00B446CC"/>
    <w:rsid w:val="00B446EE"/>
    <w:rsid w:val="00B448F4"/>
    <w:rsid w:val="00B44CCF"/>
    <w:rsid w:val="00B45065"/>
    <w:rsid w:val="00B45845"/>
    <w:rsid w:val="00B46475"/>
    <w:rsid w:val="00B466DD"/>
    <w:rsid w:val="00B46C49"/>
    <w:rsid w:val="00B477DD"/>
    <w:rsid w:val="00B47EF1"/>
    <w:rsid w:val="00B502E9"/>
    <w:rsid w:val="00B5064C"/>
    <w:rsid w:val="00B50D88"/>
    <w:rsid w:val="00B50DD4"/>
    <w:rsid w:val="00B51036"/>
    <w:rsid w:val="00B51F49"/>
    <w:rsid w:val="00B52D1A"/>
    <w:rsid w:val="00B532CC"/>
    <w:rsid w:val="00B53592"/>
    <w:rsid w:val="00B53832"/>
    <w:rsid w:val="00B53A4D"/>
    <w:rsid w:val="00B53AC1"/>
    <w:rsid w:val="00B540DF"/>
    <w:rsid w:val="00B540E3"/>
    <w:rsid w:val="00B54351"/>
    <w:rsid w:val="00B546E8"/>
    <w:rsid w:val="00B549B7"/>
    <w:rsid w:val="00B54A25"/>
    <w:rsid w:val="00B54CCE"/>
    <w:rsid w:val="00B54DFE"/>
    <w:rsid w:val="00B54F26"/>
    <w:rsid w:val="00B551FB"/>
    <w:rsid w:val="00B5558D"/>
    <w:rsid w:val="00B5592B"/>
    <w:rsid w:val="00B55F05"/>
    <w:rsid w:val="00B56257"/>
    <w:rsid w:val="00B56A45"/>
    <w:rsid w:val="00B56B7F"/>
    <w:rsid w:val="00B56FF7"/>
    <w:rsid w:val="00B5729B"/>
    <w:rsid w:val="00B57671"/>
    <w:rsid w:val="00B57915"/>
    <w:rsid w:val="00B57FF3"/>
    <w:rsid w:val="00B600B9"/>
    <w:rsid w:val="00B60489"/>
    <w:rsid w:val="00B60681"/>
    <w:rsid w:val="00B6089C"/>
    <w:rsid w:val="00B60EEB"/>
    <w:rsid w:val="00B61601"/>
    <w:rsid w:val="00B6163B"/>
    <w:rsid w:val="00B617F0"/>
    <w:rsid w:val="00B61CD8"/>
    <w:rsid w:val="00B61F18"/>
    <w:rsid w:val="00B61F6F"/>
    <w:rsid w:val="00B62140"/>
    <w:rsid w:val="00B62612"/>
    <w:rsid w:val="00B633F8"/>
    <w:rsid w:val="00B63445"/>
    <w:rsid w:val="00B63603"/>
    <w:rsid w:val="00B63F18"/>
    <w:rsid w:val="00B63FCE"/>
    <w:rsid w:val="00B640C5"/>
    <w:rsid w:val="00B64B85"/>
    <w:rsid w:val="00B64F0A"/>
    <w:rsid w:val="00B65162"/>
    <w:rsid w:val="00B657FB"/>
    <w:rsid w:val="00B65991"/>
    <w:rsid w:val="00B65D52"/>
    <w:rsid w:val="00B65E07"/>
    <w:rsid w:val="00B66064"/>
    <w:rsid w:val="00B66190"/>
    <w:rsid w:val="00B661E1"/>
    <w:rsid w:val="00B665E3"/>
    <w:rsid w:val="00B66711"/>
    <w:rsid w:val="00B67410"/>
    <w:rsid w:val="00B6754F"/>
    <w:rsid w:val="00B67627"/>
    <w:rsid w:val="00B677CD"/>
    <w:rsid w:val="00B67CB7"/>
    <w:rsid w:val="00B67E28"/>
    <w:rsid w:val="00B704E1"/>
    <w:rsid w:val="00B7078C"/>
    <w:rsid w:val="00B709F4"/>
    <w:rsid w:val="00B713BD"/>
    <w:rsid w:val="00B7199D"/>
    <w:rsid w:val="00B72DE3"/>
    <w:rsid w:val="00B73402"/>
    <w:rsid w:val="00B736E1"/>
    <w:rsid w:val="00B737AE"/>
    <w:rsid w:val="00B742F9"/>
    <w:rsid w:val="00B744A4"/>
    <w:rsid w:val="00B745D4"/>
    <w:rsid w:val="00B74626"/>
    <w:rsid w:val="00B754EA"/>
    <w:rsid w:val="00B75AF5"/>
    <w:rsid w:val="00B75E47"/>
    <w:rsid w:val="00B75EEA"/>
    <w:rsid w:val="00B760A5"/>
    <w:rsid w:val="00B760BD"/>
    <w:rsid w:val="00B76276"/>
    <w:rsid w:val="00B76287"/>
    <w:rsid w:val="00B76895"/>
    <w:rsid w:val="00B7787F"/>
    <w:rsid w:val="00B77D5E"/>
    <w:rsid w:val="00B8067E"/>
    <w:rsid w:val="00B80AD5"/>
    <w:rsid w:val="00B80DA1"/>
    <w:rsid w:val="00B80EA8"/>
    <w:rsid w:val="00B816FB"/>
    <w:rsid w:val="00B81C26"/>
    <w:rsid w:val="00B81CFB"/>
    <w:rsid w:val="00B82667"/>
    <w:rsid w:val="00B82857"/>
    <w:rsid w:val="00B82C2C"/>
    <w:rsid w:val="00B82CC1"/>
    <w:rsid w:val="00B83108"/>
    <w:rsid w:val="00B836EE"/>
    <w:rsid w:val="00B83768"/>
    <w:rsid w:val="00B83850"/>
    <w:rsid w:val="00B83BE4"/>
    <w:rsid w:val="00B84654"/>
    <w:rsid w:val="00B846E8"/>
    <w:rsid w:val="00B84882"/>
    <w:rsid w:val="00B84911"/>
    <w:rsid w:val="00B84931"/>
    <w:rsid w:val="00B8508C"/>
    <w:rsid w:val="00B85171"/>
    <w:rsid w:val="00B851CD"/>
    <w:rsid w:val="00B85225"/>
    <w:rsid w:val="00B85C6F"/>
    <w:rsid w:val="00B86190"/>
    <w:rsid w:val="00B863B1"/>
    <w:rsid w:val="00B865EB"/>
    <w:rsid w:val="00B8732C"/>
    <w:rsid w:val="00B875E8"/>
    <w:rsid w:val="00B87690"/>
    <w:rsid w:val="00B87FB5"/>
    <w:rsid w:val="00B90023"/>
    <w:rsid w:val="00B9004E"/>
    <w:rsid w:val="00B90682"/>
    <w:rsid w:val="00B915CF"/>
    <w:rsid w:val="00B917E6"/>
    <w:rsid w:val="00B91AC7"/>
    <w:rsid w:val="00B91BA3"/>
    <w:rsid w:val="00B92377"/>
    <w:rsid w:val="00B924D0"/>
    <w:rsid w:val="00B93611"/>
    <w:rsid w:val="00B93924"/>
    <w:rsid w:val="00B946AA"/>
    <w:rsid w:val="00B950F2"/>
    <w:rsid w:val="00B958C9"/>
    <w:rsid w:val="00B95AB8"/>
    <w:rsid w:val="00B95BED"/>
    <w:rsid w:val="00B95F52"/>
    <w:rsid w:val="00B96412"/>
    <w:rsid w:val="00B967F2"/>
    <w:rsid w:val="00B96804"/>
    <w:rsid w:val="00B96E3A"/>
    <w:rsid w:val="00B973B0"/>
    <w:rsid w:val="00B97936"/>
    <w:rsid w:val="00BA09F0"/>
    <w:rsid w:val="00BA14C2"/>
    <w:rsid w:val="00BA1B66"/>
    <w:rsid w:val="00BA2135"/>
    <w:rsid w:val="00BA2491"/>
    <w:rsid w:val="00BA31F4"/>
    <w:rsid w:val="00BA3469"/>
    <w:rsid w:val="00BA35B2"/>
    <w:rsid w:val="00BA3EC2"/>
    <w:rsid w:val="00BA4261"/>
    <w:rsid w:val="00BA44BA"/>
    <w:rsid w:val="00BA4A9F"/>
    <w:rsid w:val="00BA510C"/>
    <w:rsid w:val="00BA595D"/>
    <w:rsid w:val="00BA5CF1"/>
    <w:rsid w:val="00BA6194"/>
    <w:rsid w:val="00BA652E"/>
    <w:rsid w:val="00BA658E"/>
    <w:rsid w:val="00BA69B4"/>
    <w:rsid w:val="00BA6E43"/>
    <w:rsid w:val="00BA6FB9"/>
    <w:rsid w:val="00BA73A3"/>
    <w:rsid w:val="00BA73A6"/>
    <w:rsid w:val="00BA77B7"/>
    <w:rsid w:val="00BA7943"/>
    <w:rsid w:val="00BA7A57"/>
    <w:rsid w:val="00BA7B72"/>
    <w:rsid w:val="00BA7C6F"/>
    <w:rsid w:val="00BA7D7A"/>
    <w:rsid w:val="00BA7DE9"/>
    <w:rsid w:val="00BB0053"/>
    <w:rsid w:val="00BB0EC7"/>
    <w:rsid w:val="00BB18FD"/>
    <w:rsid w:val="00BB19E9"/>
    <w:rsid w:val="00BB1B00"/>
    <w:rsid w:val="00BB204A"/>
    <w:rsid w:val="00BB246B"/>
    <w:rsid w:val="00BB24B7"/>
    <w:rsid w:val="00BB2A27"/>
    <w:rsid w:val="00BB2F73"/>
    <w:rsid w:val="00BB3036"/>
    <w:rsid w:val="00BB3663"/>
    <w:rsid w:val="00BB374E"/>
    <w:rsid w:val="00BB3861"/>
    <w:rsid w:val="00BB390D"/>
    <w:rsid w:val="00BB473B"/>
    <w:rsid w:val="00BB4AA9"/>
    <w:rsid w:val="00BB4D68"/>
    <w:rsid w:val="00BB4EB3"/>
    <w:rsid w:val="00BB5297"/>
    <w:rsid w:val="00BB54BE"/>
    <w:rsid w:val="00BB5CE5"/>
    <w:rsid w:val="00BB5EA5"/>
    <w:rsid w:val="00BB5EF6"/>
    <w:rsid w:val="00BB65A3"/>
    <w:rsid w:val="00BB6735"/>
    <w:rsid w:val="00BB69A3"/>
    <w:rsid w:val="00BB69C6"/>
    <w:rsid w:val="00BB6C06"/>
    <w:rsid w:val="00BB6C91"/>
    <w:rsid w:val="00BB7BA5"/>
    <w:rsid w:val="00BB7E9A"/>
    <w:rsid w:val="00BC01BE"/>
    <w:rsid w:val="00BC0390"/>
    <w:rsid w:val="00BC0BA8"/>
    <w:rsid w:val="00BC1154"/>
    <w:rsid w:val="00BC1629"/>
    <w:rsid w:val="00BC196A"/>
    <w:rsid w:val="00BC1B74"/>
    <w:rsid w:val="00BC2362"/>
    <w:rsid w:val="00BC23F4"/>
    <w:rsid w:val="00BC2574"/>
    <w:rsid w:val="00BC2B84"/>
    <w:rsid w:val="00BC2D98"/>
    <w:rsid w:val="00BC2E66"/>
    <w:rsid w:val="00BC3305"/>
    <w:rsid w:val="00BC35DC"/>
    <w:rsid w:val="00BC3658"/>
    <w:rsid w:val="00BC3A6E"/>
    <w:rsid w:val="00BC3D87"/>
    <w:rsid w:val="00BC40B2"/>
    <w:rsid w:val="00BC4A16"/>
    <w:rsid w:val="00BC4DF8"/>
    <w:rsid w:val="00BC4F86"/>
    <w:rsid w:val="00BC5225"/>
    <w:rsid w:val="00BC57CD"/>
    <w:rsid w:val="00BC5BCA"/>
    <w:rsid w:val="00BC7044"/>
    <w:rsid w:val="00BC73AC"/>
    <w:rsid w:val="00BC7469"/>
    <w:rsid w:val="00BC7B05"/>
    <w:rsid w:val="00BC7E9F"/>
    <w:rsid w:val="00BD01B4"/>
    <w:rsid w:val="00BD07CB"/>
    <w:rsid w:val="00BD1011"/>
    <w:rsid w:val="00BD1318"/>
    <w:rsid w:val="00BD131B"/>
    <w:rsid w:val="00BD1486"/>
    <w:rsid w:val="00BD1653"/>
    <w:rsid w:val="00BD1BAB"/>
    <w:rsid w:val="00BD1F9A"/>
    <w:rsid w:val="00BD2086"/>
    <w:rsid w:val="00BD2479"/>
    <w:rsid w:val="00BD275F"/>
    <w:rsid w:val="00BD2ADA"/>
    <w:rsid w:val="00BD2B3A"/>
    <w:rsid w:val="00BD2B7F"/>
    <w:rsid w:val="00BD2EA9"/>
    <w:rsid w:val="00BD2EB4"/>
    <w:rsid w:val="00BD2F40"/>
    <w:rsid w:val="00BD2F9C"/>
    <w:rsid w:val="00BD34DB"/>
    <w:rsid w:val="00BD4215"/>
    <w:rsid w:val="00BD42A4"/>
    <w:rsid w:val="00BD4331"/>
    <w:rsid w:val="00BD438D"/>
    <w:rsid w:val="00BD439B"/>
    <w:rsid w:val="00BD48D3"/>
    <w:rsid w:val="00BD4A72"/>
    <w:rsid w:val="00BD5247"/>
    <w:rsid w:val="00BD5435"/>
    <w:rsid w:val="00BD553C"/>
    <w:rsid w:val="00BD5D78"/>
    <w:rsid w:val="00BD5DD6"/>
    <w:rsid w:val="00BD6475"/>
    <w:rsid w:val="00BD6652"/>
    <w:rsid w:val="00BD6AFA"/>
    <w:rsid w:val="00BD6B89"/>
    <w:rsid w:val="00BD72D0"/>
    <w:rsid w:val="00BD7328"/>
    <w:rsid w:val="00BE04D2"/>
    <w:rsid w:val="00BE04F8"/>
    <w:rsid w:val="00BE0533"/>
    <w:rsid w:val="00BE08E1"/>
    <w:rsid w:val="00BE0B09"/>
    <w:rsid w:val="00BE0D9E"/>
    <w:rsid w:val="00BE1722"/>
    <w:rsid w:val="00BE2756"/>
    <w:rsid w:val="00BE292A"/>
    <w:rsid w:val="00BE2988"/>
    <w:rsid w:val="00BE2B51"/>
    <w:rsid w:val="00BE307A"/>
    <w:rsid w:val="00BE3363"/>
    <w:rsid w:val="00BE345E"/>
    <w:rsid w:val="00BE346E"/>
    <w:rsid w:val="00BE35C7"/>
    <w:rsid w:val="00BE3B42"/>
    <w:rsid w:val="00BE3B50"/>
    <w:rsid w:val="00BE3F75"/>
    <w:rsid w:val="00BE401C"/>
    <w:rsid w:val="00BE4458"/>
    <w:rsid w:val="00BE474E"/>
    <w:rsid w:val="00BE4BD2"/>
    <w:rsid w:val="00BE54B2"/>
    <w:rsid w:val="00BE58E3"/>
    <w:rsid w:val="00BE59D0"/>
    <w:rsid w:val="00BE5A9B"/>
    <w:rsid w:val="00BE5D7B"/>
    <w:rsid w:val="00BE66D6"/>
    <w:rsid w:val="00BE6BD7"/>
    <w:rsid w:val="00BE6EF1"/>
    <w:rsid w:val="00BE729C"/>
    <w:rsid w:val="00BE7711"/>
    <w:rsid w:val="00BE7742"/>
    <w:rsid w:val="00BE783B"/>
    <w:rsid w:val="00BE79DD"/>
    <w:rsid w:val="00BE7A24"/>
    <w:rsid w:val="00BE7FB7"/>
    <w:rsid w:val="00BF004E"/>
    <w:rsid w:val="00BF0447"/>
    <w:rsid w:val="00BF109B"/>
    <w:rsid w:val="00BF1410"/>
    <w:rsid w:val="00BF1905"/>
    <w:rsid w:val="00BF24C8"/>
    <w:rsid w:val="00BF2783"/>
    <w:rsid w:val="00BF2CDE"/>
    <w:rsid w:val="00BF2D32"/>
    <w:rsid w:val="00BF2D84"/>
    <w:rsid w:val="00BF2E4C"/>
    <w:rsid w:val="00BF351A"/>
    <w:rsid w:val="00BF3B40"/>
    <w:rsid w:val="00BF41AC"/>
    <w:rsid w:val="00BF4638"/>
    <w:rsid w:val="00BF4A40"/>
    <w:rsid w:val="00BF56F7"/>
    <w:rsid w:val="00BF58E4"/>
    <w:rsid w:val="00BF5A6D"/>
    <w:rsid w:val="00BF5B8A"/>
    <w:rsid w:val="00BF5BEB"/>
    <w:rsid w:val="00BF5DB9"/>
    <w:rsid w:val="00BF5F42"/>
    <w:rsid w:val="00BF6001"/>
    <w:rsid w:val="00BF633D"/>
    <w:rsid w:val="00BF64F3"/>
    <w:rsid w:val="00BF6571"/>
    <w:rsid w:val="00BF67DB"/>
    <w:rsid w:val="00BF70D0"/>
    <w:rsid w:val="00BF7F26"/>
    <w:rsid w:val="00C002E8"/>
    <w:rsid w:val="00C00916"/>
    <w:rsid w:val="00C00B5F"/>
    <w:rsid w:val="00C01828"/>
    <w:rsid w:val="00C01A98"/>
    <w:rsid w:val="00C01E25"/>
    <w:rsid w:val="00C01F9A"/>
    <w:rsid w:val="00C022BB"/>
    <w:rsid w:val="00C026BC"/>
    <w:rsid w:val="00C028EA"/>
    <w:rsid w:val="00C02AD1"/>
    <w:rsid w:val="00C0326F"/>
    <w:rsid w:val="00C03AE4"/>
    <w:rsid w:val="00C041E2"/>
    <w:rsid w:val="00C0433D"/>
    <w:rsid w:val="00C043EA"/>
    <w:rsid w:val="00C046A2"/>
    <w:rsid w:val="00C046C1"/>
    <w:rsid w:val="00C04927"/>
    <w:rsid w:val="00C04AE4"/>
    <w:rsid w:val="00C04B42"/>
    <w:rsid w:val="00C051B2"/>
    <w:rsid w:val="00C05F4F"/>
    <w:rsid w:val="00C0629E"/>
    <w:rsid w:val="00C06832"/>
    <w:rsid w:val="00C06D45"/>
    <w:rsid w:val="00C07426"/>
    <w:rsid w:val="00C0799C"/>
    <w:rsid w:val="00C103F9"/>
    <w:rsid w:val="00C10E87"/>
    <w:rsid w:val="00C1103E"/>
    <w:rsid w:val="00C127B3"/>
    <w:rsid w:val="00C128FE"/>
    <w:rsid w:val="00C12A1A"/>
    <w:rsid w:val="00C12A32"/>
    <w:rsid w:val="00C12A63"/>
    <w:rsid w:val="00C12A96"/>
    <w:rsid w:val="00C133EE"/>
    <w:rsid w:val="00C13E80"/>
    <w:rsid w:val="00C14209"/>
    <w:rsid w:val="00C14FC5"/>
    <w:rsid w:val="00C1554B"/>
    <w:rsid w:val="00C156AF"/>
    <w:rsid w:val="00C157CB"/>
    <w:rsid w:val="00C158FF"/>
    <w:rsid w:val="00C16808"/>
    <w:rsid w:val="00C16D99"/>
    <w:rsid w:val="00C16D9F"/>
    <w:rsid w:val="00C16E5D"/>
    <w:rsid w:val="00C173FA"/>
    <w:rsid w:val="00C17614"/>
    <w:rsid w:val="00C17723"/>
    <w:rsid w:val="00C17B25"/>
    <w:rsid w:val="00C17CBB"/>
    <w:rsid w:val="00C17F9C"/>
    <w:rsid w:val="00C203C1"/>
    <w:rsid w:val="00C20630"/>
    <w:rsid w:val="00C20A21"/>
    <w:rsid w:val="00C21677"/>
    <w:rsid w:val="00C21C7D"/>
    <w:rsid w:val="00C21D90"/>
    <w:rsid w:val="00C21F33"/>
    <w:rsid w:val="00C21FB8"/>
    <w:rsid w:val="00C2223B"/>
    <w:rsid w:val="00C228E2"/>
    <w:rsid w:val="00C22B76"/>
    <w:rsid w:val="00C22F83"/>
    <w:rsid w:val="00C23176"/>
    <w:rsid w:val="00C2367C"/>
    <w:rsid w:val="00C23A58"/>
    <w:rsid w:val="00C2411C"/>
    <w:rsid w:val="00C24356"/>
    <w:rsid w:val="00C243BC"/>
    <w:rsid w:val="00C2467F"/>
    <w:rsid w:val="00C246CB"/>
    <w:rsid w:val="00C2472C"/>
    <w:rsid w:val="00C24AE6"/>
    <w:rsid w:val="00C24D7D"/>
    <w:rsid w:val="00C24F6D"/>
    <w:rsid w:val="00C25218"/>
    <w:rsid w:val="00C25787"/>
    <w:rsid w:val="00C25A7B"/>
    <w:rsid w:val="00C25C8F"/>
    <w:rsid w:val="00C2633B"/>
    <w:rsid w:val="00C263BA"/>
    <w:rsid w:val="00C26643"/>
    <w:rsid w:val="00C26676"/>
    <w:rsid w:val="00C267E3"/>
    <w:rsid w:val="00C2698C"/>
    <w:rsid w:val="00C27BBB"/>
    <w:rsid w:val="00C305A6"/>
    <w:rsid w:val="00C30729"/>
    <w:rsid w:val="00C3084D"/>
    <w:rsid w:val="00C30CA5"/>
    <w:rsid w:val="00C314C9"/>
    <w:rsid w:val="00C3180F"/>
    <w:rsid w:val="00C318E8"/>
    <w:rsid w:val="00C31DDF"/>
    <w:rsid w:val="00C31FE2"/>
    <w:rsid w:val="00C321ED"/>
    <w:rsid w:val="00C329A6"/>
    <w:rsid w:val="00C32BAA"/>
    <w:rsid w:val="00C33173"/>
    <w:rsid w:val="00C33238"/>
    <w:rsid w:val="00C337BE"/>
    <w:rsid w:val="00C33AF6"/>
    <w:rsid w:val="00C33DBC"/>
    <w:rsid w:val="00C34027"/>
    <w:rsid w:val="00C34849"/>
    <w:rsid w:val="00C3498D"/>
    <w:rsid w:val="00C349FC"/>
    <w:rsid w:val="00C34B71"/>
    <w:rsid w:val="00C34EA1"/>
    <w:rsid w:val="00C34ED7"/>
    <w:rsid w:val="00C3540D"/>
    <w:rsid w:val="00C35721"/>
    <w:rsid w:val="00C35C63"/>
    <w:rsid w:val="00C35D9D"/>
    <w:rsid w:val="00C35ED9"/>
    <w:rsid w:val="00C35F43"/>
    <w:rsid w:val="00C3623D"/>
    <w:rsid w:val="00C36B7E"/>
    <w:rsid w:val="00C378E7"/>
    <w:rsid w:val="00C379A6"/>
    <w:rsid w:val="00C37DC7"/>
    <w:rsid w:val="00C40099"/>
    <w:rsid w:val="00C4026C"/>
    <w:rsid w:val="00C4061B"/>
    <w:rsid w:val="00C407AB"/>
    <w:rsid w:val="00C409F5"/>
    <w:rsid w:val="00C40B91"/>
    <w:rsid w:val="00C40FB5"/>
    <w:rsid w:val="00C41019"/>
    <w:rsid w:val="00C41152"/>
    <w:rsid w:val="00C41634"/>
    <w:rsid w:val="00C418C6"/>
    <w:rsid w:val="00C4223C"/>
    <w:rsid w:val="00C42537"/>
    <w:rsid w:val="00C425D3"/>
    <w:rsid w:val="00C4290A"/>
    <w:rsid w:val="00C431BB"/>
    <w:rsid w:val="00C43294"/>
    <w:rsid w:val="00C44144"/>
    <w:rsid w:val="00C441BE"/>
    <w:rsid w:val="00C44386"/>
    <w:rsid w:val="00C445B5"/>
    <w:rsid w:val="00C44AF8"/>
    <w:rsid w:val="00C44D8D"/>
    <w:rsid w:val="00C45A60"/>
    <w:rsid w:val="00C45D6E"/>
    <w:rsid w:val="00C46567"/>
    <w:rsid w:val="00C465F0"/>
    <w:rsid w:val="00C46936"/>
    <w:rsid w:val="00C469E4"/>
    <w:rsid w:val="00C46D4A"/>
    <w:rsid w:val="00C46F91"/>
    <w:rsid w:val="00C47720"/>
    <w:rsid w:val="00C478C1"/>
    <w:rsid w:val="00C4791E"/>
    <w:rsid w:val="00C5069B"/>
    <w:rsid w:val="00C50FCA"/>
    <w:rsid w:val="00C510DF"/>
    <w:rsid w:val="00C517C8"/>
    <w:rsid w:val="00C51A86"/>
    <w:rsid w:val="00C51AAE"/>
    <w:rsid w:val="00C51B86"/>
    <w:rsid w:val="00C51D0A"/>
    <w:rsid w:val="00C5202B"/>
    <w:rsid w:val="00C52223"/>
    <w:rsid w:val="00C523DC"/>
    <w:rsid w:val="00C524BD"/>
    <w:rsid w:val="00C52551"/>
    <w:rsid w:val="00C52846"/>
    <w:rsid w:val="00C52B94"/>
    <w:rsid w:val="00C52DA4"/>
    <w:rsid w:val="00C52F40"/>
    <w:rsid w:val="00C5321C"/>
    <w:rsid w:val="00C53643"/>
    <w:rsid w:val="00C539DC"/>
    <w:rsid w:val="00C53FFD"/>
    <w:rsid w:val="00C54029"/>
    <w:rsid w:val="00C546C3"/>
    <w:rsid w:val="00C5482F"/>
    <w:rsid w:val="00C54888"/>
    <w:rsid w:val="00C54DE6"/>
    <w:rsid w:val="00C553AA"/>
    <w:rsid w:val="00C5584C"/>
    <w:rsid w:val="00C55B3D"/>
    <w:rsid w:val="00C5689E"/>
    <w:rsid w:val="00C570BB"/>
    <w:rsid w:val="00C57CC1"/>
    <w:rsid w:val="00C6049E"/>
    <w:rsid w:val="00C606CC"/>
    <w:rsid w:val="00C609FF"/>
    <w:rsid w:val="00C61E54"/>
    <w:rsid w:val="00C620E9"/>
    <w:rsid w:val="00C62BAA"/>
    <w:rsid w:val="00C63CD8"/>
    <w:rsid w:val="00C63D8C"/>
    <w:rsid w:val="00C64031"/>
    <w:rsid w:val="00C64259"/>
    <w:rsid w:val="00C648E1"/>
    <w:rsid w:val="00C64A6C"/>
    <w:rsid w:val="00C654B7"/>
    <w:rsid w:val="00C65645"/>
    <w:rsid w:val="00C6590C"/>
    <w:rsid w:val="00C66164"/>
    <w:rsid w:val="00C66183"/>
    <w:rsid w:val="00C66380"/>
    <w:rsid w:val="00C66464"/>
    <w:rsid w:val="00C666CD"/>
    <w:rsid w:val="00C6699A"/>
    <w:rsid w:val="00C673D6"/>
    <w:rsid w:val="00C6744C"/>
    <w:rsid w:val="00C67A6E"/>
    <w:rsid w:val="00C67E30"/>
    <w:rsid w:val="00C67ECD"/>
    <w:rsid w:val="00C67FFB"/>
    <w:rsid w:val="00C70202"/>
    <w:rsid w:val="00C70518"/>
    <w:rsid w:val="00C705A7"/>
    <w:rsid w:val="00C71DBE"/>
    <w:rsid w:val="00C723C5"/>
    <w:rsid w:val="00C725E6"/>
    <w:rsid w:val="00C72FED"/>
    <w:rsid w:val="00C7332B"/>
    <w:rsid w:val="00C73569"/>
    <w:rsid w:val="00C73836"/>
    <w:rsid w:val="00C73D72"/>
    <w:rsid w:val="00C73E76"/>
    <w:rsid w:val="00C74153"/>
    <w:rsid w:val="00C74271"/>
    <w:rsid w:val="00C744A0"/>
    <w:rsid w:val="00C746A0"/>
    <w:rsid w:val="00C747D1"/>
    <w:rsid w:val="00C748FF"/>
    <w:rsid w:val="00C74E44"/>
    <w:rsid w:val="00C7504C"/>
    <w:rsid w:val="00C75071"/>
    <w:rsid w:val="00C75340"/>
    <w:rsid w:val="00C753E7"/>
    <w:rsid w:val="00C75CDF"/>
    <w:rsid w:val="00C75E99"/>
    <w:rsid w:val="00C76C69"/>
    <w:rsid w:val="00C770B8"/>
    <w:rsid w:val="00C7738A"/>
    <w:rsid w:val="00C777DC"/>
    <w:rsid w:val="00C778A0"/>
    <w:rsid w:val="00C77962"/>
    <w:rsid w:val="00C77B36"/>
    <w:rsid w:val="00C801BB"/>
    <w:rsid w:val="00C80220"/>
    <w:rsid w:val="00C80A53"/>
    <w:rsid w:val="00C80B9A"/>
    <w:rsid w:val="00C80C53"/>
    <w:rsid w:val="00C80E2E"/>
    <w:rsid w:val="00C819DD"/>
    <w:rsid w:val="00C81BBB"/>
    <w:rsid w:val="00C81DF5"/>
    <w:rsid w:val="00C822C8"/>
    <w:rsid w:val="00C825CD"/>
    <w:rsid w:val="00C8266A"/>
    <w:rsid w:val="00C82993"/>
    <w:rsid w:val="00C82C04"/>
    <w:rsid w:val="00C83108"/>
    <w:rsid w:val="00C834B6"/>
    <w:rsid w:val="00C8363C"/>
    <w:rsid w:val="00C83640"/>
    <w:rsid w:val="00C8384B"/>
    <w:rsid w:val="00C83A53"/>
    <w:rsid w:val="00C8557F"/>
    <w:rsid w:val="00C8575B"/>
    <w:rsid w:val="00C8582C"/>
    <w:rsid w:val="00C85A08"/>
    <w:rsid w:val="00C85BFE"/>
    <w:rsid w:val="00C86462"/>
    <w:rsid w:val="00C86737"/>
    <w:rsid w:val="00C869BE"/>
    <w:rsid w:val="00C86AA9"/>
    <w:rsid w:val="00C86BA8"/>
    <w:rsid w:val="00C870EF"/>
    <w:rsid w:val="00C87513"/>
    <w:rsid w:val="00C87611"/>
    <w:rsid w:val="00C87A21"/>
    <w:rsid w:val="00C87ACA"/>
    <w:rsid w:val="00C87C2E"/>
    <w:rsid w:val="00C87C7D"/>
    <w:rsid w:val="00C90577"/>
    <w:rsid w:val="00C906AE"/>
    <w:rsid w:val="00C9091E"/>
    <w:rsid w:val="00C90C70"/>
    <w:rsid w:val="00C90FE8"/>
    <w:rsid w:val="00C9153A"/>
    <w:rsid w:val="00C91835"/>
    <w:rsid w:val="00C92DC0"/>
    <w:rsid w:val="00C93238"/>
    <w:rsid w:val="00C93804"/>
    <w:rsid w:val="00C93B36"/>
    <w:rsid w:val="00C93B9B"/>
    <w:rsid w:val="00C959C9"/>
    <w:rsid w:val="00C95A7D"/>
    <w:rsid w:val="00C95B40"/>
    <w:rsid w:val="00C961C8"/>
    <w:rsid w:val="00C96B19"/>
    <w:rsid w:val="00C9706E"/>
    <w:rsid w:val="00C97A84"/>
    <w:rsid w:val="00C97C81"/>
    <w:rsid w:val="00CA04D0"/>
    <w:rsid w:val="00CA05D9"/>
    <w:rsid w:val="00CA0E20"/>
    <w:rsid w:val="00CA1222"/>
    <w:rsid w:val="00CA1B4E"/>
    <w:rsid w:val="00CA1BCD"/>
    <w:rsid w:val="00CA1BF6"/>
    <w:rsid w:val="00CA1F11"/>
    <w:rsid w:val="00CA33E0"/>
    <w:rsid w:val="00CA3C62"/>
    <w:rsid w:val="00CA3F2E"/>
    <w:rsid w:val="00CA40D8"/>
    <w:rsid w:val="00CA42C6"/>
    <w:rsid w:val="00CA4531"/>
    <w:rsid w:val="00CA4B22"/>
    <w:rsid w:val="00CA4B5C"/>
    <w:rsid w:val="00CA4E44"/>
    <w:rsid w:val="00CA4E8A"/>
    <w:rsid w:val="00CA5779"/>
    <w:rsid w:val="00CA5847"/>
    <w:rsid w:val="00CA5FB0"/>
    <w:rsid w:val="00CA623D"/>
    <w:rsid w:val="00CA6446"/>
    <w:rsid w:val="00CA6461"/>
    <w:rsid w:val="00CA648E"/>
    <w:rsid w:val="00CA6779"/>
    <w:rsid w:val="00CA67CA"/>
    <w:rsid w:val="00CA6853"/>
    <w:rsid w:val="00CA6B3E"/>
    <w:rsid w:val="00CA6D82"/>
    <w:rsid w:val="00CA78C7"/>
    <w:rsid w:val="00CA7959"/>
    <w:rsid w:val="00CA7CCC"/>
    <w:rsid w:val="00CA7D75"/>
    <w:rsid w:val="00CA7EF9"/>
    <w:rsid w:val="00CB0105"/>
    <w:rsid w:val="00CB014D"/>
    <w:rsid w:val="00CB03CA"/>
    <w:rsid w:val="00CB0F7C"/>
    <w:rsid w:val="00CB1294"/>
    <w:rsid w:val="00CB1440"/>
    <w:rsid w:val="00CB19A4"/>
    <w:rsid w:val="00CB1A02"/>
    <w:rsid w:val="00CB1A33"/>
    <w:rsid w:val="00CB1B6F"/>
    <w:rsid w:val="00CB1C8B"/>
    <w:rsid w:val="00CB1E45"/>
    <w:rsid w:val="00CB2BE6"/>
    <w:rsid w:val="00CB2C84"/>
    <w:rsid w:val="00CB3063"/>
    <w:rsid w:val="00CB33DE"/>
    <w:rsid w:val="00CB3E7B"/>
    <w:rsid w:val="00CB425F"/>
    <w:rsid w:val="00CB4703"/>
    <w:rsid w:val="00CB4BD9"/>
    <w:rsid w:val="00CB5107"/>
    <w:rsid w:val="00CB53BD"/>
    <w:rsid w:val="00CB6012"/>
    <w:rsid w:val="00CB615E"/>
    <w:rsid w:val="00CB6636"/>
    <w:rsid w:val="00CB687F"/>
    <w:rsid w:val="00CB6D2F"/>
    <w:rsid w:val="00CB7262"/>
    <w:rsid w:val="00CB79A8"/>
    <w:rsid w:val="00CB7A33"/>
    <w:rsid w:val="00CB7F91"/>
    <w:rsid w:val="00CC0390"/>
    <w:rsid w:val="00CC0EF2"/>
    <w:rsid w:val="00CC19F1"/>
    <w:rsid w:val="00CC1B6A"/>
    <w:rsid w:val="00CC1E00"/>
    <w:rsid w:val="00CC1E9F"/>
    <w:rsid w:val="00CC2384"/>
    <w:rsid w:val="00CC23E2"/>
    <w:rsid w:val="00CC2405"/>
    <w:rsid w:val="00CC286B"/>
    <w:rsid w:val="00CC2D92"/>
    <w:rsid w:val="00CC2E72"/>
    <w:rsid w:val="00CC2FA2"/>
    <w:rsid w:val="00CC390A"/>
    <w:rsid w:val="00CC3E69"/>
    <w:rsid w:val="00CC40B2"/>
    <w:rsid w:val="00CC40BE"/>
    <w:rsid w:val="00CC4768"/>
    <w:rsid w:val="00CC5867"/>
    <w:rsid w:val="00CC5898"/>
    <w:rsid w:val="00CC610D"/>
    <w:rsid w:val="00CC64FB"/>
    <w:rsid w:val="00CC6B3A"/>
    <w:rsid w:val="00CC72B3"/>
    <w:rsid w:val="00CC7DBE"/>
    <w:rsid w:val="00CC7EAE"/>
    <w:rsid w:val="00CD0953"/>
    <w:rsid w:val="00CD09A1"/>
    <w:rsid w:val="00CD0A1F"/>
    <w:rsid w:val="00CD0D27"/>
    <w:rsid w:val="00CD0EEC"/>
    <w:rsid w:val="00CD0FF2"/>
    <w:rsid w:val="00CD1084"/>
    <w:rsid w:val="00CD10D6"/>
    <w:rsid w:val="00CD1803"/>
    <w:rsid w:val="00CD1D28"/>
    <w:rsid w:val="00CD2441"/>
    <w:rsid w:val="00CD259D"/>
    <w:rsid w:val="00CD3131"/>
    <w:rsid w:val="00CD357C"/>
    <w:rsid w:val="00CD3BD2"/>
    <w:rsid w:val="00CD3C76"/>
    <w:rsid w:val="00CD422A"/>
    <w:rsid w:val="00CD46F2"/>
    <w:rsid w:val="00CD478F"/>
    <w:rsid w:val="00CD48C5"/>
    <w:rsid w:val="00CD49E5"/>
    <w:rsid w:val="00CD4B7A"/>
    <w:rsid w:val="00CD4B97"/>
    <w:rsid w:val="00CD4CD0"/>
    <w:rsid w:val="00CD52E0"/>
    <w:rsid w:val="00CD559C"/>
    <w:rsid w:val="00CD5B98"/>
    <w:rsid w:val="00CD5D6A"/>
    <w:rsid w:val="00CD63E5"/>
    <w:rsid w:val="00CD65E4"/>
    <w:rsid w:val="00CD6702"/>
    <w:rsid w:val="00CD673A"/>
    <w:rsid w:val="00CD68E5"/>
    <w:rsid w:val="00CD7431"/>
    <w:rsid w:val="00CE015A"/>
    <w:rsid w:val="00CE025E"/>
    <w:rsid w:val="00CE0260"/>
    <w:rsid w:val="00CE0538"/>
    <w:rsid w:val="00CE06B9"/>
    <w:rsid w:val="00CE08AA"/>
    <w:rsid w:val="00CE09EB"/>
    <w:rsid w:val="00CE12C0"/>
    <w:rsid w:val="00CE14F1"/>
    <w:rsid w:val="00CE1941"/>
    <w:rsid w:val="00CE1BDD"/>
    <w:rsid w:val="00CE26CF"/>
    <w:rsid w:val="00CE26E2"/>
    <w:rsid w:val="00CE29EB"/>
    <w:rsid w:val="00CE2EA4"/>
    <w:rsid w:val="00CE36F0"/>
    <w:rsid w:val="00CE423F"/>
    <w:rsid w:val="00CE4686"/>
    <w:rsid w:val="00CE47BA"/>
    <w:rsid w:val="00CE4AA5"/>
    <w:rsid w:val="00CE4D6D"/>
    <w:rsid w:val="00CE4F4D"/>
    <w:rsid w:val="00CE5702"/>
    <w:rsid w:val="00CE57DD"/>
    <w:rsid w:val="00CE5DB0"/>
    <w:rsid w:val="00CE610B"/>
    <w:rsid w:val="00CE630E"/>
    <w:rsid w:val="00CE64E5"/>
    <w:rsid w:val="00CE6A1B"/>
    <w:rsid w:val="00CE6C17"/>
    <w:rsid w:val="00CE6DBD"/>
    <w:rsid w:val="00CE6E6A"/>
    <w:rsid w:val="00CE7DEB"/>
    <w:rsid w:val="00CE7FB3"/>
    <w:rsid w:val="00CF0297"/>
    <w:rsid w:val="00CF0D8F"/>
    <w:rsid w:val="00CF1269"/>
    <w:rsid w:val="00CF136B"/>
    <w:rsid w:val="00CF141B"/>
    <w:rsid w:val="00CF1673"/>
    <w:rsid w:val="00CF1F61"/>
    <w:rsid w:val="00CF2720"/>
    <w:rsid w:val="00CF278F"/>
    <w:rsid w:val="00CF28BE"/>
    <w:rsid w:val="00CF2901"/>
    <w:rsid w:val="00CF318C"/>
    <w:rsid w:val="00CF334C"/>
    <w:rsid w:val="00CF3A59"/>
    <w:rsid w:val="00CF3BEA"/>
    <w:rsid w:val="00CF3E45"/>
    <w:rsid w:val="00CF406A"/>
    <w:rsid w:val="00CF44E6"/>
    <w:rsid w:val="00CF49A4"/>
    <w:rsid w:val="00CF4AD1"/>
    <w:rsid w:val="00CF4BB4"/>
    <w:rsid w:val="00CF4D5D"/>
    <w:rsid w:val="00CF4EC2"/>
    <w:rsid w:val="00CF4FCC"/>
    <w:rsid w:val="00CF5470"/>
    <w:rsid w:val="00CF56B0"/>
    <w:rsid w:val="00CF57C8"/>
    <w:rsid w:val="00CF58E1"/>
    <w:rsid w:val="00CF62D8"/>
    <w:rsid w:val="00CF63CC"/>
    <w:rsid w:val="00CF6403"/>
    <w:rsid w:val="00CF6560"/>
    <w:rsid w:val="00CF6F5C"/>
    <w:rsid w:val="00CF6FA3"/>
    <w:rsid w:val="00CF7104"/>
    <w:rsid w:val="00CF7724"/>
    <w:rsid w:val="00CF789E"/>
    <w:rsid w:val="00CF7A75"/>
    <w:rsid w:val="00CF7AA0"/>
    <w:rsid w:val="00CF7AD1"/>
    <w:rsid w:val="00CF7D84"/>
    <w:rsid w:val="00CF7FC0"/>
    <w:rsid w:val="00D0015E"/>
    <w:rsid w:val="00D00249"/>
    <w:rsid w:val="00D005FC"/>
    <w:rsid w:val="00D0098E"/>
    <w:rsid w:val="00D00D0F"/>
    <w:rsid w:val="00D014DC"/>
    <w:rsid w:val="00D01A6A"/>
    <w:rsid w:val="00D01B3F"/>
    <w:rsid w:val="00D01CAB"/>
    <w:rsid w:val="00D01F2B"/>
    <w:rsid w:val="00D0203B"/>
    <w:rsid w:val="00D0213E"/>
    <w:rsid w:val="00D02228"/>
    <w:rsid w:val="00D0241D"/>
    <w:rsid w:val="00D0245D"/>
    <w:rsid w:val="00D0254D"/>
    <w:rsid w:val="00D025F6"/>
    <w:rsid w:val="00D029A4"/>
    <w:rsid w:val="00D035F1"/>
    <w:rsid w:val="00D036DD"/>
    <w:rsid w:val="00D03BB7"/>
    <w:rsid w:val="00D04507"/>
    <w:rsid w:val="00D0466E"/>
    <w:rsid w:val="00D04773"/>
    <w:rsid w:val="00D04A8D"/>
    <w:rsid w:val="00D04EEE"/>
    <w:rsid w:val="00D04FE6"/>
    <w:rsid w:val="00D05329"/>
    <w:rsid w:val="00D0584A"/>
    <w:rsid w:val="00D05C39"/>
    <w:rsid w:val="00D05D33"/>
    <w:rsid w:val="00D05E6B"/>
    <w:rsid w:val="00D05EC2"/>
    <w:rsid w:val="00D05FB5"/>
    <w:rsid w:val="00D060F4"/>
    <w:rsid w:val="00D06279"/>
    <w:rsid w:val="00D06303"/>
    <w:rsid w:val="00D06314"/>
    <w:rsid w:val="00D067B6"/>
    <w:rsid w:val="00D06943"/>
    <w:rsid w:val="00D06AD4"/>
    <w:rsid w:val="00D06C4B"/>
    <w:rsid w:val="00D07373"/>
    <w:rsid w:val="00D073B7"/>
    <w:rsid w:val="00D07443"/>
    <w:rsid w:val="00D10112"/>
    <w:rsid w:val="00D103E7"/>
    <w:rsid w:val="00D10765"/>
    <w:rsid w:val="00D10E56"/>
    <w:rsid w:val="00D114F4"/>
    <w:rsid w:val="00D126FD"/>
    <w:rsid w:val="00D12922"/>
    <w:rsid w:val="00D12A72"/>
    <w:rsid w:val="00D13F6E"/>
    <w:rsid w:val="00D1404B"/>
    <w:rsid w:val="00D15D25"/>
    <w:rsid w:val="00D1616D"/>
    <w:rsid w:val="00D16335"/>
    <w:rsid w:val="00D16542"/>
    <w:rsid w:val="00D16AA1"/>
    <w:rsid w:val="00D16C3A"/>
    <w:rsid w:val="00D16CE2"/>
    <w:rsid w:val="00D16FE7"/>
    <w:rsid w:val="00D175A3"/>
    <w:rsid w:val="00D176A7"/>
    <w:rsid w:val="00D1792B"/>
    <w:rsid w:val="00D17E82"/>
    <w:rsid w:val="00D2002C"/>
    <w:rsid w:val="00D2023C"/>
    <w:rsid w:val="00D20961"/>
    <w:rsid w:val="00D20AA2"/>
    <w:rsid w:val="00D20BD5"/>
    <w:rsid w:val="00D2125B"/>
    <w:rsid w:val="00D219DA"/>
    <w:rsid w:val="00D21C55"/>
    <w:rsid w:val="00D21FA3"/>
    <w:rsid w:val="00D222A5"/>
    <w:rsid w:val="00D224BE"/>
    <w:rsid w:val="00D22AC3"/>
    <w:rsid w:val="00D22E7C"/>
    <w:rsid w:val="00D230F5"/>
    <w:rsid w:val="00D234C9"/>
    <w:rsid w:val="00D23894"/>
    <w:rsid w:val="00D23A80"/>
    <w:rsid w:val="00D23AA3"/>
    <w:rsid w:val="00D23E01"/>
    <w:rsid w:val="00D24017"/>
    <w:rsid w:val="00D24096"/>
    <w:rsid w:val="00D2410D"/>
    <w:rsid w:val="00D243FC"/>
    <w:rsid w:val="00D244B1"/>
    <w:rsid w:val="00D24ACD"/>
    <w:rsid w:val="00D24FC4"/>
    <w:rsid w:val="00D2550C"/>
    <w:rsid w:val="00D264CA"/>
    <w:rsid w:val="00D266A0"/>
    <w:rsid w:val="00D26912"/>
    <w:rsid w:val="00D269DB"/>
    <w:rsid w:val="00D27432"/>
    <w:rsid w:val="00D27B77"/>
    <w:rsid w:val="00D27EFB"/>
    <w:rsid w:val="00D30480"/>
    <w:rsid w:val="00D30549"/>
    <w:rsid w:val="00D30FBF"/>
    <w:rsid w:val="00D310B1"/>
    <w:rsid w:val="00D3169E"/>
    <w:rsid w:val="00D31B46"/>
    <w:rsid w:val="00D31F23"/>
    <w:rsid w:val="00D321A4"/>
    <w:rsid w:val="00D32667"/>
    <w:rsid w:val="00D326FA"/>
    <w:rsid w:val="00D32B5E"/>
    <w:rsid w:val="00D32C8A"/>
    <w:rsid w:val="00D33092"/>
    <w:rsid w:val="00D331B1"/>
    <w:rsid w:val="00D33535"/>
    <w:rsid w:val="00D339A3"/>
    <w:rsid w:val="00D33A10"/>
    <w:rsid w:val="00D33B8A"/>
    <w:rsid w:val="00D33EA1"/>
    <w:rsid w:val="00D341F4"/>
    <w:rsid w:val="00D34611"/>
    <w:rsid w:val="00D34795"/>
    <w:rsid w:val="00D347E8"/>
    <w:rsid w:val="00D34957"/>
    <w:rsid w:val="00D34ACE"/>
    <w:rsid w:val="00D34C11"/>
    <w:rsid w:val="00D35057"/>
    <w:rsid w:val="00D3595F"/>
    <w:rsid w:val="00D365F9"/>
    <w:rsid w:val="00D368B2"/>
    <w:rsid w:val="00D36A75"/>
    <w:rsid w:val="00D36B4D"/>
    <w:rsid w:val="00D37490"/>
    <w:rsid w:val="00D37F19"/>
    <w:rsid w:val="00D40792"/>
    <w:rsid w:val="00D40AA4"/>
    <w:rsid w:val="00D419B6"/>
    <w:rsid w:val="00D419E3"/>
    <w:rsid w:val="00D41D7F"/>
    <w:rsid w:val="00D425A2"/>
    <w:rsid w:val="00D42E05"/>
    <w:rsid w:val="00D42F99"/>
    <w:rsid w:val="00D43C72"/>
    <w:rsid w:val="00D43FEA"/>
    <w:rsid w:val="00D4435B"/>
    <w:rsid w:val="00D44D0E"/>
    <w:rsid w:val="00D44D22"/>
    <w:rsid w:val="00D44DF2"/>
    <w:rsid w:val="00D44E03"/>
    <w:rsid w:val="00D453A7"/>
    <w:rsid w:val="00D45685"/>
    <w:rsid w:val="00D45ABC"/>
    <w:rsid w:val="00D45CF4"/>
    <w:rsid w:val="00D46282"/>
    <w:rsid w:val="00D46301"/>
    <w:rsid w:val="00D46319"/>
    <w:rsid w:val="00D46362"/>
    <w:rsid w:val="00D4650F"/>
    <w:rsid w:val="00D46778"/>
    <w:rsid w:val="00D46E37"/>
    <w:rsid w:val="00D474DB"/>
    <w:rsid w:val="00D47AE3"/>
    <w:rsid w:val="00D47E2F"/>
    <w:rsid w:val="00D501E7"/>
    <w:rsid w:val="00D5036A"/>
    <w:rsid w:val="00D509BF"/>
    <w:rsid w:val="00D51183"/>
    <w:rsid w:val="00D51317"/>
    <w:rsid w:val="00D52A52"/>
    <w:rsid w:val="00D53453"/>
    <w:rsid w:val="00D535AC"/>
    <w:rsid w:val="00D53BF9"/>
    <w:rsid w:val="00D541BB"/>
    <w:rsid w:val="00D54456"/>
    <w:rsid w:val="00D544D9"/>
    <w:rsid w:val="00D546B4"/>
    <w:rsid w:val="00D549BD"/>
    <w:rsid w:val="00D55317"/>
    <w:rsid w:val="00D55510"/>
    <w:rsid w:val="00D558D6"/>
    <w:rsid w:val="00D55A2F"/>
    <w:rsid w:val="00D55D00"/>
    <w:rsid w:val="00D5631D"/>
    <w:rsid w:val="00D56436"/>
    <w:rsid w:val="00D56491"/>
    <w:rsid w:val="00D56731"/>
    <w:rsid w:val="00D56815"/>
    <w:rsid w:val="00D56D62"/>
    <w:rsid w:val="00D573E7"/>
    <w:rsid w:val="00D57AE1"/>
    <w:rsid w:val="00D57C46"/>
    <w:rsid w:val="00D57D95"/>
    <w:rsid w:val="00D602A5"/>
    <w:rsid w:val="00D6065F"/>
    <w:rsid w:val="00D60876"/>
    <w:rsid w:val="00D60AAD"/>
    <w:rsid w:val="00D60B1E"/>
    <w:rsid w:val="00D611BA"/>
    <w:rsid w:val="00D61AEC"/>
    <w:rsid w:val="00D61EAD"/>
    <w:rsid w:val="00D61FED"/>
    <w:rsid w:val="00D6210E"/>
    <w:rsid w:val="00D624D6"/>
    <w:rsid w:val="00D627F6"/>
    <w:rsid w:val="00D62879"/>
    <w:rsid w:val="00D629DD"/>
    <w:rsid w:val="00D62A72"/>
    <w:rsid w:val="00D63049"/>
    <w:rsid w:val="00D634B4"/>
    <w:rsid w:val="00D63566"/>
    <w:rsid w:val="00D64AA2"/>
    <w:rsid w:val="00D64F34"/>
    <w:rsid w:val="00D65231"/>
    <w:rsid w:val="00D65292"/>
    <w:rsid w:val="00D65637"/>
    <w:rsid w:val="00D657C9"/>
    <w:rsid w:val="00D659ED"/>
    <w:rsid w:val="00D65C3E"/>
    <w:rsid w:val="00D666D5"/>
    <w:rsid w:val="00D66734"/>
    <w:rsid w:val="00D6678F"/>
    <w:rsid w:val="00D66A8F"/>
    <w:rsid w:val="00D66AA4"/>
    <w:rsid w:val="00D66D06"/>
    <w:rsid w:val="00D67276"/>
    <w:rsid w:val="00D672A0"/>
    <w:rsid w:val="00D67344"/>
    <w:rsid w:val="00D67652"/>
    <w:rsid w:val="00D677F4"/>
    <w:rsid w:val="00D67F0E"/>
    <w:rsid w:val="00D70015"/>
    <w:rsid w:val="00D7018C"/>
    <w:rsid w:val="00D7037A"/>
    <w:rsid w:val="00D705C3"/>
    <w:rsid w:val="00D70A8E"/>
    <w:rsid w:val="00D7119B"/>
    <w:rsid w:val="00D71348"/>
    <w:rsid w:val="00D71BD9"/>
    <w:rsid w:val="00D71C92"/>
    <w:rsid w:val="00D72347"/>
    <w:rsid w:val="00D728B7"/>
    <w:rsid w:val="00D72E2A"/>
    <w:rsid w:val="00D7310B"/>
    <w:rsid w:val="00D73123"/>
    <w:rsid w:val="00D7371A"/>
    <w:rsid w:val="00D749E7"/>
    <w:rsid w:val="00D75195"/>
    <w:rsid w:val="00D752B6"/>
    <w:rsid w:val="00D7554F"/>
    <w:rsid w:val="00D75791"/>
    <w:rsid w:val="00D75F88"/>
    <w:rsid w:val="00D76235"/>
    <w:rsid w:val="00D76668"/>
    <w:rsid w:val="00D76D8C"/>
    <w:rsid w:val="00D76F97"/>
    <w:rsid w:val="00D77353"/>
    <w:rsid w:val="00D7742D"/>
    <w:rsid w:val="00D7756E"/>
    <w:rsid w:val="00D778C5"/>
    <w:rsid w:val="00D77BB9"/>
    <w:rsid w:val="00D806C0"/>
    <w:rsid w:val="00D8139C"/>
    <w:rsid w:val="00D81A2A"/>
    <w:rsid w:val="00D81B29"/>
    <w:rsid w:val="00D81E62"/>
    <w:rsid w:val="00D82086"/>
    <w:rsid w:val="00D82291"/>
    <w:rsid w:val="00D82364"/>
    <w:rsid w:val="00D825BD"/>
    <w:rsid w:val="00D82E8B"/>
    <w:rsid w:val="00D82EEC"/>
    <w:rsid w:val="00D832BD"/>
    <w:rsid w:val="00D847FB"/>
    <w:rsid w:val="00D84820"/>
    <w:rsid w:val="00D84FDC"/>
    <w:rsid w:val="00D85004"/>
    <w:rsid w:val="00D851FD"/>
    <w:rsid w:val="00D8538F"/>
    <w:rsid w:val="00D85423"/>
    <w:rsid w:val="00D860E1"/>
    <w:rsid w:val="00D860F6"/>
    <w:rsid w:val="00D8667D"/>
    <w:rsid w:val="00D86CD5"/>
    <w:rsid w:val="00D86D41"/>
    <w:rsid w:val="00D86D73"/>
    <w:rsid w:val="00D86F56"/>
    <w:rsid w:val="00D86FB5"/>
    <w:rsid w:val="00D870A1"/>
    <w:rsid w:val="00D870A2"/>
    <w:rsid w:val="00D8722F"/>
    <w:rsid w:val="00D87FE5"/>
    <w:rsid w:val="00D90A19"/>
    <w:rsid w:val="00D90A8F"/>
    <w:rsid w:val="00D90A98"/>
    <w:rsid w:val="00D913F3"/>
    <w:rsid w:val="00D9183E"/>
    <w:rsid w:val="00D91BA0"/>
    <w:rsid w:val="00D91CEE"/>
    <w:rsid w:val="00D922FE"/>
    <w:rsid w:val="00D925D5"/>
    <w:rsid w:val="00D928BA"/>
    <w:rsid w:val="00D929AC"/>
    <w:rsid w:val="00D92BF2"/>
    <w:rsid w:val="00D936B6"/>
    <w:rsid w:val="00D93759"/>
    <w:rsid w:val="00D94793"/>
    <w:rsid w:val="00D94C02"/>
    <w:rsid w:val="00D94DA4"/>
    <w:rsid w:val="00D9532E"/>
    <w:rsid w:val="00D95443"/>
    <w:rsid w:val="00D95953"/>
    <w:rsid w:val="00D95CF5"/>
    <w:rsid w:val="00D9608A"/>
    <w:rsid w:val="00D9610C"/>
    <w:rsid w:val="00D9648C"/>
    <w:rsid w:val="00D9649A"/>
    <w:rsid w:val="00D968EE"/>
    <w:rsid w:val="00D97354"/>
    <w:rsid w:val="00D97651"/>
    <w:rsid w:val="00D97904"/>
    <w:rsid w:val="00D97CB0"/>
    <w:rsid w:val="00DA024A"/>
    <w:rsid w:val="00DA0278"/>
    <w:rsid w:val="00DA02C1"/>
    <w:rsid w:val="00DA0565"/>
    <w:rsid w:val="00DA0821"/>
    <w:rsid w:val="00DA0C46"/>
    <w:rsid w:val="00DA1211"/>
    <w:rsid w:val="00DA17BA"/>
    <w:rsid w:val="00DA1960"/>
    <w:rsid w:val="00DA1D0B"/>
    <w:rsid w:val="00DA1F4A"/>
    <w:rsid w:val="00DA2F40"/>
    <w:rsid w:val="00DA356B"/>
    <w:rsid w:val="00DA3A95"/>
    <w:rsid w:val="00DA4847"/>
    <w:rsid w:val="00DA4A22"/>
    <w:rsid w:val="00DA4AB1"/>
    <w:rsid w:val="00DA4E81"/>
    <w:rsid w:val="00DA4EB7"/>
    <w:rsid w:val="00DA52B8"/>
    <w:rsid w:val="00DA531B"/>
    <w:rsid w:val="00DA610B"/>
    <w:rsid w:val="00DA62DB"/>
    <w:rsid w:val="00DA6957"/>
    <w:rsid w:val="00DA6A83"/>
    <w:rsid w:val="00DA6BE6"/>
    <w:rsid w:val="00DA7065"/>
    <w:rsid w:val="00DA7370"/>
    <w:rsid w:val="00DA745A"/>
    <w:rsid w:val="00DA7583"/>
    <w:rsid w:val="00DA7615"/>
    <w:rsid w:val="00DA7E73"/>
    <w:rsid w:val="00DB0719"/>
    <w:rsid w:val="00DB085A"/>
    <w:rsid w:val="00DB08CF"/>
    <w:rsid w:val="00DB18D1"/>
    <w:rsid w:val="00DB207C"/>
    <w:rsid w:val="00DB2780"/>
    <w:rsid w:val="00DB27A7"/>
    <w:rsid w:val="00DB2AA5"/>
    <w:rsid w:val="00DB383F"/>
    <w:rsid w:val="00DB4FB8"/>
    <w:rsid w:val="00DB56BE"/>
    <w:rsid w:val="00DB59BA"/>
    <w:rsid w:val="00DB5DAF"/>
    <w:rsid w:val="00DB616B"/>
    <w:rsid w:val="00DB6966"/>
    <w:rsid w:val="00DB7285"/>
    <w:rsid w:val="00DB782B"/>
    <w:rsid w:val="00DB7E75"/>
    <w:rsid w:val="00DC0B82"/>
    <w:rsid w:val="00DC0D27"/>
    <w:rsid w:val="00DC11C8"/>
    <w:rsid w:val="00DC125D"/>
    <w:rsid w:val="00DC136D"/>
    <w:rsid w:val="00DC1849"/>
    <w:rsid w:val="00DC1D96"/>
    <w:rsid w:val="00DC22E9"/>
    <w:rsid w:val="00DC234D"/>
    <w:rsid w:val="00DC243F"/>
    <w:rsid w:val="00DC2578"/>
    <w:rsid w:val="00DC259D"/>
    <w:rsid w:val="00DC27A3"/>
    <w:rsid w:val="00DC29C4"/>
    <w:rsid w:val="00DC2A65"/>
    <w:rsid w:val="00DC3481"/>
    <w:rsid w:val="00DC42F1"/>
    <w:rsid w:val="00DC4340"/>
    <w:rsid w:val="00DC4C7E"/>
    <w:rsid w:val="00DC53A9"/>
    <w:rsid w:val="00DC564A"/>
    <w:rsid w:val="00DC5790"/>
    <w:rsid w:val="00DC5853"/>
    <w:rsid w:val="00DC5878"/>
    <w:rsid w:val="00DC5D69"/>
    <w:rsid w:val="00DC5DF0"/>
    <w:rsid w:val="00DC5F0B"/>
    <w:rsid w:val="00DC6D53"/>
    <w:rsid w:val="00DC73B2"/>
    <w:rsid w:val="00DC797C"/>
    <w:rsid w:val="00DC7E14"/>
    <w:rsid w:val="00DD08AB"/>
    <w:rsid w:val="00DD096E"/>
    <w:rsid w:val="00DD0AF4"/>
    <w:rsid w:val="00DD0C84"/>
    <w:rsid w:val="00DD0F30"/>
    <w:rsid w:val="00DD1257"/>
    <w:rsid w:val="00DD13E9"/>
    <w:rsid w:val="00DD15DC"/>
    <w:rsid w:val="00DD1BFC"/>
    <w:rsid w:val="00DD1D80"/>
    <w:rsid w:val="00DD20BB"/>
    <w:rsid w:val="00DD25FB"/>
    <w:rsid w:val="00DD2BDF"/>
    <w:rsid w:val="00DD2E5F"/>
    <w:rsid w:val="00DD30B9"/>
    <w:rsid w:val="00DD331C"/>
    <w:rsid w:val="00DD34A5"/>
    <w:rsid w:val="00DD3AD5"/>
    <w:rsid w:val="00DD3C67"/>
    <w:rsid w:val="00DD3D1A"/>
    <w:rsid w:val="00DD40B6"/>
    <w:rsid w:val="00DD45EE"/>
    <w:rsid w:val="00DD4E27"/>
    <w:rsid w:val="00DD542D"/>
    <w:rsid w:val="00DD61E8"/>
    <w:rsid w:val="00DD6FE4"/>
    <w:rsid w:val="00DD7073"/>
    <w:rsid w:val="00DD724E"/>
    <w:rsid w:val="00DE0112"/>
    <w:rsid w:val="00DE0207"/>
    <w:rsid w:val="00DE0471"/>
    <w:rsid w:val="00DE0E93"/>
    <w:rsid w:val="00DE147D"/>
    <w:rsid w:val="00DE16A6"/>
    <w:rsid w:val="00DE1C44"/>
    <w:rsid w:val="00DE1C6E"/>
    <w:rsid w:val="00DE2113"/>
    <w:rsid w:val="00DE241C"/>
    <w:rsid w:val="00DE245D"/>
    <w:rsid w:val="00DE2E28"/>
    <w:rsid w:val="00DE333F"/>
    <w:rsid w:val="00DE3472"/>
    <w:rsid w:val="00DE38D9"/>
    <w:rsid w:val="00DE3A87"/>
    <w:rsid w:val="00DE4062"/>
    <w:rsid w:val="00DE4185"/>
    <w:rsid w:val="00DE444A"/>
    <w:rsid w:val="00DE44A7"/>
    <w:rsid w:val="00DE4D60"/>
    <w:rsid w:val="00DE4F2E"/>
    <w:rsid w:val="00DE5AAC"/>
    <w:rsid w:val="00DE5B55"/>
    <w:rsid w:val="00DE5D02"/>
    <w:rsid w:val="00DE60B7"/>
    <w:rsid w:val="00DE68F9"/>
    <w:rsid w:val="00DE6CAA"/>
    <w:rsid w:val="00DE71CF"/>
    <w:rsid w:val="00DE7B45"/>
    <w:rsid w:val="00DE7DE2"/>
    <w:rsid w:val="00DF0957"/>
    <w:rsid w:val="00DF0E60"/>
    <w:rsid w:val="00DF1677"/>
    <w:rsid w:val="00DF1A80"/>
    <w:rsid w:val="00DF225D"/>
    <w:rsid w:val="00DF25DC"/>
    <w:rsid w:val="00DF2638"/>
    <w:rsid w:val="00DF273F"/>
    <w:rsid w:val="00DF33AC"/>
    <w:rsid w:val="00DF34AE"/>
    <w:rsid w:val="00DF351A"/>
    <w:rsid w:val="00DF3F66"/>
    <w:rsid w:val="00DF4055"/>
    <w:rsid w:val="00DF41F9"/>
    <w:rsid w:val="00DF4634"/>
    <w:rsid w:val="00DF48D0"/>
    <w:rsid w:val="00DF4A00"/>
    <w:rsid w:val="00DF4C9D"/>
    <w:rsid w:val="00DF4FE2"/>
    <w:rsid w:val="00DF5409"/>
    <w:rsid w:val="00DF5499"/>
    <w:rsid w:val="00DF612A"/>
    <w:rsid w:val="00DF669E"/>
    <w:rsid w:val="00DF6B21"/>
    <w:rsid w:val="00DF6BD8"/>
    <w:rsid w:val="00DF6D12"/>
    <w:rsid w:val="00DF763C"/>
    <w:rsid w:val="00DF7863"/>
    <w:rsid w:val="00E00453"/>
    <w:rsid w:val="00E00A1C"/>
    <w:rsid w:val="00E00D2E"/>
    <w:rsid w:val="00E01036"/>
    <w:rsid w:val="00E013CD"/>
    <w:rsid w:val="00E014C8"/>
    <w:rsid w:val="00E01C3C"/>
    <w:rsid w:val="00E0233A"/>
    <w:rsid w:val="00E02375"/>
    <w:rsid w:val="00E023AC"/>
    <w:rsid w:val="00E02A45"/>
    <w:rsid w:val="00E02E1C"/>
    <w:rsid w:val="00E0311D"/>
    <w:rsid w:val="00E03340"/>
    <w:rsid w:val="00E03759"/>
    <w:rsid w:val="00E03A85"/>
    <w:rsid w:val="00E03CAE"/>
    <w:rsid w:val="00E03D6D"/>
    <w:rsid w:val="00E0410C"/>
    <w:rsid w:val="00E0438F"/>
    <w:rsid w:val="00E04653"/>
    <w:rsid w:val="00E04B99"/>
    <w:rsid w:val="00E04C83"/>
    <w:rsid w:val="00E0539B"/>
    <w:rsid w:val="00E053BB"/>
    <w:rsid w:val="00E058EA"/>
    <w:rsid w:val="00E06585"/>
    <w:rsid w:val="00E06D30"/>
    <w:rsid w:val="00E07171"/>
    <w:rsid w:val="00E07789"/>
    <w:rsid w:val="00E07940"/>
    <w:rsid w:val="00E07B8C"/>
    <w:rsid w:val="00E07EB2"/>
    <w:rsid w:val="00E10219"/>
    <w:rsid w:val="00E10225"/>
    <w:rsid w:val="00E10695"/>
    <w:rsid w:val="00E10764"/>
    <w:rsid w:val="00E1084B"/>
    <w:rsid w:val="00E10AE8"/>
    <w:rsid w:val="00E10B04"/>
    <w:rsid w:val="00E10FBD"/>
    <w:rsid w:val="00E11445"/>
    <w:rsid w:val="00E11AB6"/>
    <w:rsid w:val="00E11F03"/>
    <w:rsid w:val="00E12021"/>
    <w:rsid w:val="00E12275"/>
    <w:rsid w:val="00E12482"/>
    <w:rsid w:val="00E12C8D"/>
    <w:rsid w:val="00E12D23"/>
    <w:rsid w:val="00E1367C"/>
    <w:rsid w:val="00E13E36"/>
    <w:rsid w:val="00E1405F"/>
    <w:rsid w:val="00E141AA"/>
    <w:rsid w:val="00E147B1"/>
    <w:rsid w:val="00E156F7"/>
    <w:rsid w:val="00E15874"/>
    <w:rsid w:val="00E159A5"/>
    <w:rsid w:val="00E159BD"/>
    <w:rsid w:val="00E16413"/>
    <w:rsid w:val="00E167C7"/>
    <w:rsid w:val="00E1693F"/>
    <w:rsid w:val="00E16E02"/>
    <w:rsid w:val="00E16EB8"/>
    <w:rsid w:val="00E1765F"/>
    <w:rsid w:val="00E17EFA"/>
    <w:rsid w:val="00E20131"/>
    <w:rsid w:val="00E2013B"/>
    <w:rsid w:val="00E20273"/>
    <w:rsid w:val="00E203C5"/>
    <w:rsid w:val="00E21174"/>
    <w:rsid w:val="00E2177C"/>
    <w:rsid w:val="00E218BC"/>
    <w:rsid w:val="00E21BE6"/>
    <w:rsid w:val="00E22182"/>
    <w:rsid w:val="00E22B8D"/>
    <w:rsid w:val="00E22C68"/>
    <w:rsid w:val="00E22C87"/>
    <w:rsid w:val="00E22D20"/>
    <w:rsid w:val="00E22F8F"/>
    <w:rsid w:val="00E232D5"/>
    <w:rsid w:val="00E23759"/>
    <w:rsid w:val="00E237D2"/>
    <w:rsid w:val="00E242CB"/>
    <w:rsid w:val="00E24A8E"/>
    <w:rsid w:val="00E24B44"/>
    <w:rsid w:val="00E2525D"/>
    <w:rsid w:val="00E252AC"/>
    <w:rsid w:val="00E25542"/>
    <w:rsid w:val="00E25703"/>
    <w:rsid w:val="00E25B2C"/>
    <w:rsid w:val="00E26068"/>
    <w:rsid w:val="00E2646D"/>
    <w:rsid w:val="00E26823"/>
    <w:rsid w:val="00E26F65"/>
    <w:rsid w:val="00E27097"/>
    <w:rsid w:val="00E271E2"/>
    <w:rsid w:val="00E2729F"/>
    <w:rsid w:val="00E27B73"/>
    <w:rsid w:val="00E27D2E"/>
    <w:rsid w:val="00E306DA"/>
    <w:rsid w:val="00E306FF"/>
    <w:rsid w:val="00E3089D"/>
    <w:rsid w:val="00E31118"/>
    <w:rsid w:val="00E316FE"/>
    <w:rsid w:val="00E31700"/>
    <w:rsid w:val="00E31976"/>
    <w:rsid w:val="00E31A93"/>
    <w:rsid w:val="00E31D8F"/>
    <w:rsid w:val="00E3260E"/>
    <w:rsid w:val="00E32797"/>
    <w:rsid w:val="00E32CA1"/>
    <w:rsid w:val="00E331AA"/>
    <w:rsid w:val="00E3330F"/>
    <w:rsid w:val="00E333BC"/>
    <w:rsid w:val="00E33559"/>
    <w:rsid w:val="00E33941"/>
    <w:rsid w:val="00E33BFD"/>
    <w:rsid w:val="00E33D00"/>
    <w:rsid w:val="00E33D01"/>
    <w:rsid w:val="00E33F0B"/>
    <w:rsid w:val="00E34205"/>
    <w:rsid w:val="00E344DD"/>
    <w:rsid w:val="00E34CF8"/>
    <w:rsid w:val="00E34DD0"/>
    <w:rsid w:val="00E34EE9"/>
    <w:rsid w:val="00E352DF"/>
    <w:rsid w:val="00E35713"/>
    <w:rsid w:val="00E35867"/>
    <w:rsid w:val="00E358D6"/>
    <w:rsid w:val="00E35D6F"/>
    <w:rsid w:val="00E36152"/>
    <w:rsid w:val="00E36A0B"/>
    <w:rsid w:val="00E36FE9"/>
    <w:rsid w:val="00E3740C"/>
    <w:rsid w:val="00E374C5"/>
    <w:rsid w:val="00E37520"/>
    <w:rsid w:val="00E375AD"/>
    <w:rsid w:val="00E3787E"/>
    <w:rsid w:val="00E3793B"/>
    <w:rsid w:val="00E403F3"/>
    <w:rsid w:val="00E4043E"/>
    <w:rsid w:val="00E4080E"/>
    <w:rsid w:val="00E40965"/>
    <w:rsid w:val="00E40B29"/>
    <w:rsid w:val="00E40BE4"/>
    <w:rsid w:val="00E40C90"/>
    <w:rsid w:val="00E40F5F"/>
    <w:rsid w:val="00E40F7B"/>
    <w:rsid w:val="00E41348"/>
    <w:rsid w:val="00E416E4"/>
    <w:rsid w:val="00E41703"/>
    <w:rsid w:val="00E41790"/>
    <w:rsid w:val="00E419F3"/>
    <w:rsid w:val="00E4207D"/>
    <w:rsid w:val="00E4262E"/>
    <w:rsid w:val="00E42BF2"/>
    <w:rsid w:val="00E431D4"/>
    <w:rsid w:val="00E43221"/>
    <w:rsid w:val="00E43266"/>
    <w:rsid w:val="00E43662"/>
    <w:rsid w:val="00E43883"/>
    <w:rsid w:val="00E43BE4"/>
    <w:rsid w:val="00E44BE1"/>
    <w:rsid w:val="00E44EDA"/>
    <w:rsid w:val="00E44F43"/>
    <w:rsid w:val="00E45601"/>
    <w:rsid w:val="00E45780"/>
    <w:rsid w:val="00E458AD"/>
    <w:rsid w:val="00E45C47"/>
    <w:rsid w:val="00E46213"/>
    <w:rsid w:val="00E46DA2"/>
    <w:rsid w:val="00E4761D"/>
    <w:rsid w:val="00E477AA"/>
    <w:rsid w:val="00E47AAB"/>
    <w:rsid w:val="00E47DDC"/>
    <w:rsid w:val="00E5011B"/>
    <w:rsid w:val="00E5024A"/>
    <w:rsid w:val="00E50D99"/>
    <w:rsid w:val="00E50E38"/>
    <w:rsid w:val="00E5104F"/>
    <w:rsid w:val="00E51193"/>
    <w:rsid w:val="00E51414"/>
    <w:rsid w:val="00E51C89"/>
    <w:rsid w:val="00E52031"/>
    <w:rsid w:val="00E522E4"/>
    <w:rsid w:val="00E525DF"/>
    <w:rsid w:val="00E52B35"/>
    <w:rsid w:val="00E52CED"/>
    <w:rsid w:val="00E536A9"/>
    <w:rsid w:val="00E538FA"/>
    <w:rsid w:val="00E5396A"/>
    <w:rsid w:val="00E54034"/>
    <w:rsid w:val="00E5415E"/>
    <w:rsid w:val="00E5478C"/>
    <w:rsid w:val="00E5480C"/>
    <w:rsid w:val="00E54834"/>
    <w:rsid w:val="00E549FB"/>
    <w:rsid w:val="00E54C10"/>
    <w:rsid w:val="00E5555C"/>
    <w:rsid w:val="00E55A2B"/>
    <w:rsid w:val="00E55DDD"/>
    <w:rsid w:val="00E5638D"/>
    <w:rsid w:val="00E56A1A"/>
    <w:rsid w:val="00E56A7C"/>
    <w:rsid w:val="00E56B81"/>
    <w:rsid w:val="00E576FF"/>
    <w:rsid w:val="00E57D4E"/>
    <w:rsid w:val="00E57D9E"/>
    <w:rsid w:val="00E57E6A"/>
    <w:rsid w:val="00E57F0F"/>
    <w:rsid w:val="00E57F63"/>
    <w:rsid w:val="00E57FBD"/>
    <w:rsid w:val="00E57FD3"/>
    <w:rsid w:val="00E6061E"/>
    <w:rsid w:val="00E61FA9"/>
    <w:rsid w:val="00E62A0D"/>
    <w:rsid w:val="00E62B5E"/>
    <w:rsid w:val="00E63329"/>
    <w:rsid w:val="00E638DD"/>
    <w:rsid w:val="00E63EC9"/>
    <w:rsid w:val="00E65117"/>
    <w:rsid w:val="00E65467"/>
    <w:rsid w:val="00E66045"/>
    <w:rsid w:val="00E66061"/>
    <w:rsid w:val="00E6616B"/>
    <w:rsid w:val="00E6617E"/>
    <w:rsid w:val="00E662BD"/>
    <w:rsid w:val="00E662F8"/>
    <w:rsid w:val="00E663E1"/>
    <w:rsid w:val="00E66A33"/>
    <w:rsid w:val="00E6701B"/>
    <w:rsid w:val="00E6727E"/>
    <w:rsid w:val="00E6734C"/>
    <w:rsid w:val="00E674A7"/>
    <w:rsid w:val="00E6770C"/>
    <w:rsid w:val="00E67775"/>
    <w:rsid w:val="00E677EE"/>
    <w:rsid w:val="00E6795C"/>
    <w:rsid w:val="00E67C53"/>
    <w:rsid w:val="00E67DBF"/>
    <w:rsid w:val="00E70289"/>
    <w:rsid w:val="00E719B9"/>
    <w:rsid w:val="00E71CDF"/>
    <w:rsid w:val="00E72A07"/>
    <w:rsid w:val="00E72E85"/>
    <w:rsid w:val="00E72E91"/>
    <w:rsid w:val="00E73058"/>
    <w:rsid w:val="00E731D7"/>
    <w:rsid w:val="00E73302"/>
    <w:rsid w:val="00E739ED"/>
    <w:rsid w:val="00E740B8"/>
    <w:rsid w:val="00E7452B"/>
    <w:rsid w:val="00E7455D"/>
    <w:rsid w:val="00E74842"/>
    <w:rsid w:val="00E74B64"/>
    <w:rsid w:val="00E74C3E"/>
    <w:rsid w:val="00E74E4C"/>
    <w:rsid w:val="00E756BE"/>
    <w:rsid w:val="00E75BEB"/>
    <w:rsid w:val="00E75E99"/>
    <w:rsid w:val="00E75F9C"/>
    <w:rsid w:val="00E760E3"/>
    <w:rsid w:val="00E76239"/>
    <w:rsid w:val="00E764E2"/>
    <w:rsid w:val="00E767A3"/>
    <w:rsid w:val="00E767F1"/>
    <w:rsid w:val="00E7702C"/>
    <w:rsid w:val="00E77413"/>
    <w:rsid w:val="00E77591"/>
    <w:rsid w:val="00E7772A"/>
    <w:rsid w:val="00E777AD"/>
    <w:rsid w:val="00E77CA5"/>
    <w:rsid w:val="00E77E42"/>
    <w:rsid w:val="00E77E76"/>
    <w:rsid w:val="00E77EA9"/>
    <w:rsid w:val="00E77EC0"/>
    <w:rsid w:val="00E80114"/>
    <w:rsid w:val="00E81048"/>
    <w:rsid w:val="00E8135F"/>
    <w:rsid w:val="00E81859"/>
    <w:rsid w:val="00E81EFF"/>
    <w:rsid w:val="00E81F92"/>
    <w:rsid w:val="00E8220E"/>
    <w:rsid w:val="00E82886"/>
    <w:rsid w:val="00E82C29"/>
    <w:rsid w:val="00E82CB9"/>
    <w:rsid w:val="00E83181"/>
    <w:rsid w:val="00E8330E"/>
    <w:rsid w:val="00E83853"/>
    <w:rsid w:val="00E839AD"/>
    <w:rsid w:val="00E83E1F"/>
    <w:rsid w:val="00E83F4C"/>
    <w:rsid w:val="00E83FBB"/>
    <w:rsid w:val="00E84A73"/>
    <w:rsid w:val="00E84B8B"/>
    <w:rsid w:val="00E84DD8"/>
    <w:rsid w:val="00E84E44"/>
    <w:rsid w:val="00E84FB4"/>
    <w:rsid w:val="00E856FC"/>
    <w:rsid w:val="00E85815"/>
    <w:rsid w:val="00E8588B"/>
    <w:rsid w:val="00E859DF"/>
    <w:rsid w:val="00E85BCF"/>
    <w:rsid w:val="00E865FB"/>
    <w:rsid w:val="00E86E00"/>
    <w:rsid w:val="00E878E6"/>
    <w:rsid w:val="00E87BF9"/>
    <w:rsid w:val="00E90418"/>
    <w:rsid w:val="00E904E7"/>
    <w:rsid w:val="00E90892"/>
    <w:rsid w:val="00E90A39"/>
    <w:rsid w:val="00E90B01"/>
    <w:rsid w:val="00E90B9C"/>
    <w:rsid w:val="00E90D4F"/>
    <w:rsid w:val="00E90DEB"/>
    <w:rsid w:val="00E90E53"/>
    <w:rsid w:val="00E91293"/>
    <w:rsid w:val="00E912C0"/>
    <w:rsid w:val="00E915F1"/>
    <w:rsid w:val="00E91C67"/>
    <w:rsid w:val="00E91D67"/>
    <w:rsid w:val="00E91EB7"/>
    <w:rsid w:val="00E9259F"/>
    <w:rsid w:val="00E92618"/>
    <w:rsid w:val="00E926C8"/>
    <w:rsid w:val="00E92818"/>
    <w:rsid w:val="00E929EE"/>
    <w:rsid w:val="00E92A4E"/>
    <w:rsid w:val="00E930D3"/>
    <w:rsid w:val="00E93123"/>
    <w:rsid w:val="00E93D43"/>
    <w:rsid w:val="00E9463C"/>
    <w:rsid w:val="00E9493F"/>
    <w:rsid w:val="00E94CE1"/>
    <w:rsid w:val="00E955F4"/>
    <w:rsid w:val="00E9573E"/>
    <w:rsid w:val="00E95790"/>
    <w:rsid w:val="00E95ADA"/>
    <w:rsid w:val="00E95D7E"/>
    <w:rsid w:val="00E95E04"/>
    <w:rsid w:val="00E95F05"/>
    <w:rsid w:val="00E95FCB"/>
    <w:rsid w:val="00E96235"/>
    <w:rsid w:val="00E970F1"/>
    <w:rsid w:val="00E97161"/>
    <w:rsid w:val="00E9747C"/>
    <w:rsid w:val="00E97D64"/>
    <w:rsid w:val="00EA00EA"/>
    <w:rsid w:val="00EA023F"/>
    <w:rsid w:val="00EA0662"/>
    <w:rsid w:val="00EA123D"/>
    <w:rsid w:val="00EA132A"/>
    <w:rsid w:val="00EA13A2"/>
    <w:rsid w:val="00EA14F6"/>
    <w:rsid w:val="00EA19BD"/>
    <w:rsid w:val="00EA23FD"/>
    <w:rsid w:val="00EA29E3"/>
    <w:rsid w:val="00EA4052"/>
    <w:rsid w:val="00EA42AA"/>
    <w:rsid w:val="00EA46F0"/>
    <w:rsid w:val="00EA47BD"/>
    <w:rsid w:val="00EA4AD5"/>
    <w:rsid w:val="00EA4BAE"/>
    <w:rsid w:val="00EA52AE"/>
    <w:rsid w:val="00EA593C"/>
    <w:rsid w:val="00EA747E"/>
    <w:rsid w:val="00EA7890"/>
    <w:rsid w:val="00EA7B0F"/>
    <w:rsid w:val="00EA7CEE"/>
    <w:rsid w:val="00EB05AB"/>
    <w:rsid w:val="00EB06EC"/>
    <w:rsid w:val="00EB19FE"/>
    <w:rsid w:val="00EB1A83"/>
    <w:rsid w:val="00EB1AB6"/>
    <w:rsid w:val="00EB1C9B"/>
    <w:rsid w:val="00EB1E6D"/>
    <w:rsid w:val="00EB2411"/>
    <w:rsid w:val="00EB2598"/>
    <w:rsid w:val="00EB25F0"/>
    <w:rsid w:val="00EB2AC4"/>
    <w:rsid w:val="00EB2DB4"/>
    <w:rsid w:val="00EB30C6"/>
    <w:rsid w:val="00EB3144"/>
    <w:rsid w:val="00EB31C3"/>
    <w:rsid w:val="00EB38B3"/>
    <w:rsid w:val="00EB406A"/>
    <w:rsid w:val="00EB45F3"/>
    <w:rsid w:val="00EB48B5"/>
    <w:rsid w:val="00EB502E"/>
    <w:rsid w:val="00EB57D0"/>
    <w:rsid w:val="00EB6228"/>
    <w:rsid w:val="00EB6324"/>
    <w:rsid w:val="00EB644C"/>
    <w:rsid w:val="00EB6491"/>
    <w:rsid w:val="00EB675A"/>
    <w:rsid w:val="00EB6982"/>
    <w:rsid w:val="00EB6E06"/>
    <w:rsid w:val="00EB6F81"/>
    <w:rsid w:val="00EB72B9"/>
    <w:rsid w:val="00EB731A"/>
    <w:rsid w:val="00EB7581"/>
    <w:rsid w:val="00EB7999"/>
    <w:rsid w:val="00EB7AB4"/>
    <w:rsid w:val="00EB7B5B"/>
    <w:rsid w:val="00EC05B8"/>
    <w:rsid w:val="00EC0BD4"/>
    <w:rsid w:val="00EC0E6F"/>
    <w:rsid w:val="00EC1059"/>
    <w:rsid w:val="00EC169E"/>
    <w:rsid w:val="00EC1A58"/>
    <w:rsid w:val="00EC1F68"/>
    <w:rsid w:val="00EC28A8"/>
    <w:rsid w:val="00EC2957"/>
    <w:rsid w:val="00EC2CC6"/>
    <w:rsid w:val="00EC2DD1"/>
    <w:rsid w:val="00EC3782"/>
    <w:rsid w:val="00EC3983"/>
    <w:rsid w:val="00EC424A"/>
    <w:rsid w:val="00EC4252"/>
    <w:rsid w:val="00EC464C"/>
    <w:rsid w:val="00EC4896"/>
    <w:rsid w:val="00EC4F17"/>
    <w:rsid w:val="00EC5623"/>
    <w:rsid w:val="00EC6542"/>
    <w:rsid w:val="00EC6D7F"/>
    <w:rsid w:val="00EC744D"/>
    <w:rsid w:val="00EC750B"/>
    <w:rsid w:val="00EC7894"/>
    <w:rsid w:val="00EC78A4"/>
    <w:rsid w:val="00EC7E18"/>
    <w:rsid w:val="00ED0250"/>
    <w:rsid w:val="00ED0286"/>
    <w:rsid w:val="00ED036E"/>
    <w:rsid w:val="00ED076C"/>
    <w:rsid w:val="00ED0AA9"/>
    <w:rsid w:val="00ED0E0B"/>
    <w:rsid w:val="00ED112D"/>
    <w:rsid w:val="00ED113A"/>
    <w:rsid w:val="00ED1375"/>
    <w:rsid w:val="00ED1F7E"/>
    <w:rsid w:val="00ED1FCA"/>
    <w:rsid w:val="00ED20D6"/>
    <w:rsid w:val="00ED2169"/>
    <w:rsid w:val="00ED37D6"/>
    <w:rsid w:val="00ED40F7"/>
    <w:rsid w:val="00ED427D"/>
    <w:rsid w:val="00ED46CC"/>
    <w:rsid w:val="00ED4C82"/>
    <w:rsid w:val="00ED4DC1"/>
    <w:rsid w:val="00ED5114"/>
    <w:rsid w:val="00ED53B7"/>
    <w:rsid w:val="00ED58BD"/>
    <w:rsid w:val="00ED592C"/>
    <w:rsid w:val="00ED61C8"/>
    <w:rsid w:val="00ED6967"/>
    <w:rsid w:val="00ED74A0"/>
    <w:rsid w:val="00ED7D10"/>
    <w:rsid w:val="00ED7EFA"/>
    <w:rsid w:val="00EE04C9"/>
    <w:rsid w:val="00EE07E1"/>
    <w:rsid w:val="00EE0B8D"/>
    <w:rsid w:val="00EE0FD3"/>
    <w:rsid w:val="00EE15D6"/>
    <w:rsid w:val="00EE1801"/>
    <w:rsid w:val="00EE1960"/>
    <w:rsid w:val="00EE1D80"/>
    <w:rsid w:val="00EE1F5E"/>
    <w:rsid w:val="00EE20EA"/>
    <w:rsid w:val="00EE221E"/>
    <w:rsid w:val="00EE3F14"/>
    <w:rsid w:val="00EE3F7A"/>
    <w:rsid w:val="00EE416C"/>
    <w:rsid w:val="00EE48AB"/>
    <w:rsid w:val="00EE4CE5"/>
    <w:rsid w:val="00EE4DAF"/>
    <w:rsid w:val="00EE51DC"/>
    <w:rsid w:val="00EE520B"/>
    <w:rsid w:val="00EE53F6"/>
    <w:rsid w:val="00EE577E"/>
    <w:rsid w:val="00EE5A1E"/>
    <w:rsid w:val="00EE5B98"/>
    <w:rsid w:val="00EE5BCF"/>
    <w:rsid w:val="00EE61EA"/>
    <w:rsid w:val="00EE6892"/>
    <w:rsid w:val="00EE7351"/>
    <w:rsid w:val="00EE7F7F"/>
    <w:rsid w:val="00EF050E"/>
    <w:rsid w:val="00EF070A"/>
    <w:rsid w:val="00EF0AA2"/>
    <w:rsid w:val="00EF0FB6"/>
    <w:rsid w:val="00EF1B35"/>
    <w:rsid w:val="00EF1F6C"/>
    <w:rsid w:val="00EF1F71"/>
    <w:rsid w:val="00EF1FFA"/>
    <w:rsid w:val="00EF249F"/>
    <w:rsid w:val="00EF28ED"/>
    <w:rsid w:val="00EF2EC7"/>
    <w:rsid w:val="00EF3044"/>
    <w:rsid w:val="00EF3214"/>
    <w:rsid w:val="00EF385C"/>
    <w:rsid w:val="00EF3A64"/>
    <w:rsid w:val="00EF3B5E"/>
    <w:rsid w:val="00EF4364"/>
    <w:rsid w:val="00EF4B7A"/>
    <w:rsid w:val="00EF4CD2"/>
    <w:rsid w:val="00EF5476"/>
    <w:rsid w:val="00EF547B"/>
    <w:rsid w:val="00EF6C69"/>
    <w:rsid w:val="00EF7338"/>
    <w:rsid w:val="00EF7647"/>
    <w:rsid w:val="00EF7A66"/>
    <w:rsid w:val="00EF7BB0"/>
    <w:rsid w:val="00EF7EB2"/>
    <w:rsid w:val="00F000F4"/>
    <w:rsid w:val="00F0026A"/>
    <w:rsid w:val="00F0048F"/>
    <w:rsid w:val="00F00777"/>
    <w:rsid w:val="00F00FBF"/>
    <w:rsid w:val="00F011A6"/>
    <w:rsid w:val="00F013C0"/>
    <w:rsid w:val="00F015D9"/>
    <w:rsid w:val="00F01929"/>
    <w:rsid w:val="00F01F98"/>
    <w:rsid w:val="00F021FA"/>
    <w:rsid w:val="00F024F1"/>
    <w:rsid w:val="00F02E26"/>
    <w:rsid w:val="00F031AE"/>
    <w:rsid w:val="00F034D2"/>
    <w:rsid w:val="00F035B9"/>
    <w:rsid w:val="00F03684"/>
    <w:rsid w:val="00F03B74"/>
    <w:rsid w:val="00F03BCD"/>
    <w:rsid w:val="00F03E4C"/>
    <w:rsid w:val="00F040F8"/>
    <w:rsid w:val="00F04356"/>
    <w:rsid w:val="00F045AB"/>
    <w:rsid w:val="00F054A9"/>
    <w:rsid w:val="00F05519"/>
    <w:rsid w:val="00F056A9"/>
    <w:rsid w:val="00F05E36"/>
    <w:rsid w:val="00F0637B"/>
    <w:rsid w:val="00F06418"/>
    <w:rsid w:val="00F0695D"/>
    <w:rsid w:val="00F06A2B"/>
    <w:rsid w:val="00F07586"/>
    <w:rsid w:val="00F07B19"/>
    <w:rsid w:val="00F07FF6"/>
    <w:rsid w:val="00F109F6"/>
    <w:rsid w:val="00F10CF1"/>
    <w:rsid w:val="00F10CF8"/>
    <w:rsid w:val="00F10E48"/>
    <w:rsid w:val="00F114B8"/>
    <w:rsid w:val="00F1156F"/>
    <w:rsid w:val="00F11774"/>
    <w:rsid w:val="00F118BA"/>
    <w:rsid w:val="00F11A12"/>
    <w:rsid w:val="00F11D29"/>
    <w:rsid w:val="00F12236"/>
    <w:rsid w:val="00F12DAE"/>
    <w:rsid w:val="00F13069"/>
    <w:rsid w:val="00F13774"/>
    <w:rsid w:val="00F143B9"/>
    <w:rsid w:val="00F146DE"/>
    <w:rsid w:val="00F147F2"/>
    <w:rsid w:val="00F14CCF"/>
    <w:rsid w:val="00F14FCC"/>
    <w:rsid w:val="00F1555E"/>
    <w:rsid w:val="00F15A3C"/>
    <w:rsid w:val="00F15AA6"/>
    <w:rsid w:val="00F15B1C"/>
    <w:rsid w:val="00F15E3A"/>
    <w:rsid w:val="00F17285"/>
    <w:rsid w:val="00F17413"/>
    <w:rsid w:val="00F178FB"/>
    <w:rsid w:val="00F20390"/>
    <w:rsid w:val="00F20477"/>
    <w:rsid w:val="00F20C65"/>
    <w:rsid w:val="00F20C9B"/>
    <w:rsid w:val="00F20FA2"/>
    <w:rsid w:val="00F2126B"/>
    <w:rsid w:val="00F213C1"/>
    <w:rsid w:val="00F21490"/>
    <w:rsid w:val="00F214F6"/>
    <w:rsid w:val="00F21617"/>
    <w:rsid w:val="00F216C1"/>
    <w:rsid w:val="00F21CE6"/>
    <w:rsid w:val="00F21E6A"/>
    <w:rsid w:val="00F2201A"/>
    <w:rsid w:val="00F22326"/>
    <w:rsid w:val="00F227DC"/>
    <w:rsid w:val="00F2288E"/>
    <w:rsid w:val="00F22B13"/>
    <w:rsid w:val="00F22C10"/>
    <w:rsid w:val="00F22CD9"/>
    <w:rsid w:val="00F22F1C"/>
    <w:rsid w:val="00F2316F"/>
    <w:rsid w:val="00F2317C"/>
    <w:rsid w:val="00F237CB"/>
    <w:rsid w:val="00F23BC5"/>
    <w:rsid w:val="00F24ACD"/>
    <w:rsid w:val="00F24D94"/>
    <w:rsid w:val="00F25310"/>
    <w:rsid w:val="00F25863"/>
    <w:rsid w:val="00F2599B"/>
    <w:rsid w:val="00F25B12"/>
    <w:rsid w:val="00F25D12"/>
    <w:rsid w:val="00F26247"/>
    <w:rsid w:val="00F26A94"/>
    <w:rsid w:val="00F26CFE"/>
    <w:rsid w:val="00F26FA0"/>
    <w:rsid w:val="00F277DB"/>
    <w:rsid w:val="00F27DE0"/>
    <w:rsid w:val="00F3020D"/>
    <w:rsid w:val="00F304C7"/>
    <w:rsid w:val="00F309EC"/>
    <w:rsid w:val="00F30F97"/>
    <w:rsid w:val="00F311C2"/>
    <w:rsid w:val="00F3123C"/>
    <w:rsid w:val="00F312D5"/>
    <w:rsid w:val="00F3152B"/>
    <w:rsid w:val="00F3164B"/>
    <w:rsid w:val="00F318E6"/>
    <w:rsid w:val="00F31E33"/>
    <w:rsid w:val="00F3203B"/>
    <w:rsid w:val="00F322BC"/>
    <w:rsid w:val="00F3273F"/>
    <w:rsid w:val="00F32C6C"/>
    <w:rsid w:val="00F32DC9"/>
    <w:rsid w:val="00F330F6"/>
    <w:rsid w:val="00F335D0"/>
    <w:rsid w:val="00F33A86"/>
    <w:rsid w:val="00F33AFF"/>
    <w:rsid w:val="00F341C8"/>
    <w:rsid w:val="00F345C2"/>
    <w:rsid w:val="00F3498C"/>
    <w:rsid w:val="00F349E9"/>
    <w:rsid w:val="00F34D56"/>
    <w:rsid w:val="00F352A7"/>
    <w:rsid w:val="00F3585C"/>
    <w:rsid w:val="00F3591A"/>
    <w:rsid w:val="00F35D08"/>
    <w:rsid w:val="00F35DD1"/>
    <w:rsid w:val="00F35E3F"/>
    <w:rsid w:val="00F3627D"/>
    <w:rsid w:val="00F3637D"/>
    <w:rsid w:val="00F366D6"/>
    <w:rsid w:val="00F372A1"/>
    <w:rsid w:val="00F37319"/>
    <w:rsid w:val="00F377FC"/>
    <w:rsid w:val="00F37D2E"/>
    <w:rsid w:val="00F37F37"/>
    <w:rsid w:val="00F40075"/>
    <w:rsid w:val="00F40322"/>
    <w:rsid w:val="00F4079F"/>
    <w:rsid w:val="00F40F4C"/>
    <w:rsid w:val="00F4149C"/>
    <w:rsid w:val="00F41BBA"/>
    <w:rsid w:val="00F42877"/>
    <w:rsid w:val="00F42E1E"/>
    <w:rsid w:val="00F4338F"/>
    <w:rsid w:val="00F438CE"/>
    <w:rsid w:val="00F43DED"/>
    <w:rsid w:val="00F44018"/>
    <w:rsid w:val="00F44321"/>
    <w:rsid w:val="00F443CC"/>
    <w:rsid w:val="00F447C1"/>
    <w:rsid w:val="00F44B26"/>
    <w:rsid w:val="00F44D41"/>
    <w:rsid w:val="00F44FD8"/>
    <w:rsid w:val="00F4531A"/>
    <w:rsid w:val="00F45785"/>
    <w:rsid w:val="00F46072"/>
    <w:rsid w:val="00F46114"/>
    <w:rsid w:val="00F46116"/>
    <w:rsid w:val="00F46679"/>
    <w:rsid w:val="00F46B5D"/>
    <w:rsid w:val="00F46F10"/>
    <w:rsid w:val="00F47A63"/>
    <w:rsid w:val="00F47BC0"/>
    <w:rsid w:val="00F47CCD"/>
    <w:rsid w:val="00F50240"/>
    <w:rsid w:val="00F503DB"/>
    <w:rsid w:val="00F5054B"/>
    <w:rsid w:val="00F50771"/>
    <w:rsid w:val="00F50BCB"/>
    <w:rsid w:val="00F50CAF"/>
    <w:rsid w:val="00F50FDD"/>
    <w:rsid w:val="00F510A2"/>
    <w:rsid w:val="00F51351"/>
    <w:rsid w:val="00F513D0"/>
    <w:rsid w:val="00F5152D"/>
    <w:rsid w:val="00F5163B"/>
    <w:rsid w:val="00F51935"/>
    <w:rsid w:val="00F51C00"/>
    <w:rsid w:val="00F52157"/>
    <w:rsid w:val="00F521CE"/>
    <w:rsid w:val="00F52257"/>
    <w:rsid w:val="00F52A6B"/>
    <w:rsid w:val="00F52B0D"/>
    <w:rsid w:val="00F52F36"/>
    <w:rsid w:val="00F53538"/>
    <w:rsid w:val="00F53763"/>
    <w:rsid w:val="00F53798"/>
    <w:rsid w:val="00F541AF"/>
    <w:rsid w:val="00F54382"/>
    <w:rsid w:val="00F5455D"/>
    <w:rsid w:val="00F549ED"/>
    <w:rsid w:val="00F5542F"/>
    <w:rsid w:val="00F55496"/>
    <w:rsid w:val="00F557E4"/>
    <w:rsid w:val="00F5595F"/>
    <w:rsid w:val="00F55AA8"/>
    <w:rsid w:val="00F55ADC"/>
    <w:rsid w:val="00F55BEC"/>
    <w:rsid w:val="00F561FB"/>
    <w:rsid w:val="00F56316"/>
    <w:rsid w:val="00F565D9"/>
    <w:rsid w:val="00F566B1"/>
    <w:rsid w:val="00F566B5"/>
    <w:rsid w:val="00F56F23"/>
    <w:rsid w:val="00F57173"/>
    <w:rsid w:val="00F57AC1"/>
    <w:rsid w:val="00F6048E"/>
    <w:rsid w:val="00F60561"/>
    <w:rsid w:val="00F60A44"/>
    <w:rsid w:val="00F60BF5"/>
    <w:rsid w:val="00F60D62"/>
    <w:rsid w:val="00F60E72"/>
    <w:rsid w:val="00F611DB"/>
    <w:rsid w:val="00F61276"/>
    <w:rsid w:val="00F6170A"/>
    <w:rsid w:val="00F6196C"/>
    <w:rsid w:val="00F61C57"/>
    <w:rsid w:val="00F6210F"/>
    <w:rsid w:val="00F62890"/>
    <w:rsid w:val="00F62B32"/>
    <w:rsid w:val="00F62E1F"/>
    <w:rsid w:val="00F62F94"/>
    <w:rsid w:val="00F63171"/>
    <w:rsid w:val="00F645F4"/>
    <w:rsid w:val="00F64B2E"/>
    <w:rsid w:val="00F65198"/>
    <w:rsid w:val="00F651A6"/>
    <w:rsid w:val="00F6575D"/>
    <w:rsid w:val="00F659E9"/>
    <w:rsid w:val="00F65C35"/>
    <w:rsid w:val="00F65F28"/>
    <w:rsid w:val="00F65F53"/>
    <w:rsid w:val="00F6649A"/>
    <w:rsid w:val="00F667E6"/>
    <w:rsid w:val="00F66D41"/>
    <w:rsid w:val="00F67267"/>
    <w:rsid w:val="00F6732C"/>
    <w:rsid w:val="00F675FF"/>
    <w:rsid w:val="00F6774E"/>
    <w:rsid w:val="00F67882"/>
    <w:rsid w:val="00F67B20"/>
    <w:rsid w:val="00F67E34"/>
    <w:rsid w:val="00F70DC9"/>
    <w:rsid w:val="00F70DD4"/>
    <w:rsid w:val="00F70F28"/>
    <w:rsid w:val="00F70F63"/>
    <w:rsid w:val="00F71B3A"/>
    <w:rsid w:val="00F71EC6"/>
    <w:rsid w:val="00F7231B"/>
    <w:rsid w:val="00F72875"/>
    <w:rsid w:val="00F72909"/>
    <w:rsid w:val="00F72A03"/>
    <w:rsid w:val="00F735D2"/>
    <w:rsid w:val="00F73655"/>
    <w:rsid w:val="00F736B9"/>
    <w:rsid w:val="00F73F44"/>
    <w:rsid w:val="00F742CD"/>
    <w:rsid w:val="00F742D6"/>
    <w:rsid w:val="00F74409"/>
    <w:rsid w:val="00F745CD"/>
    <w:rsid w:val="00F747E9"/>
    <w:rsid w:val="00F7501B"/>
    <w:rsid w:val="00F75129"/>
    <w:rsid w:val="00F75E8C"/>
    <w:rsid w:val="00F76081"/>
    <w:rsid w:val="00F7638A"/>
    <w:rsid w:val="00F763E9"/>
    <w:rsid w:val="00F764E1"/>
    <w:rsid w:val="00F76ADD"/>
    <w:rsid w:val="00F76CB1"/>
    <w:rsid w:val="00F76D80"/>
    <w:rsid w:val="00F774E1"/>
    <w:rsid w:val="00F8042E"/>
    <w:rsid w:val="00F806BC"/>
    <w:rsid w:val="00F80ABF"/>
    <w:rsid w:val="00F80DCD"/>
    <w:rsid w:val="00F81112"/>
    <w:rsid w:val="00F811D1"/>
    <w:rsid w:val="00F814E7"/>
    <w:rsid w:val="00F819DA"/>
    <w:rsid w:val="00F81AFF"/>
    <w:rsid w:val="00F826B5"/>
    <w:rsid w:val="00F82A17"/>
    <w:rsid w:val="00F82F06"/>
    <w:rsid w:val="00F83205"/>
    <w:rsid w:val="00F84103"/>
    <w:rsid w:val="00F844AB"/>
    <w:rsid w:val="00F846FE"/>
    <w:rsid w:val="00F84935"/>
    <w:rsid w:val="00F850DD"/>
    <w:rsid w:val="00F85781"/>
    <w:rsid w:val="00F85828"/>
    <w:rsid w:val="00F85A83"/>
    <w:rsid w:val="00F85CB2"/>
    <w:rsid w:val="00F85D59"/>
    <w:rsid w:val="00F867D2"/>
    <w:rsid w:val="00F86898"/>
    <w:rsid w:val="00F87AD8"/>
    <w:rsid w:val="00F87D66"/>
    <w:rsid w:val="00F87F64"/>
    <w:rsid w:val="00F901F4"/>
    <w:rsid w:val="00F909F6"/>
    <w:rsid w:val="00F90D83"/>
    <w:rsid w:val="00F90E2C"/>
    <w:rsid w:val="00F91276"/>
    <w:rsid w:val="00F9184D"/>
    <w:rsid w:val="00F91A7F"/>
    <w:rsid w:val="00F92306"/>
    <w:rsid w:val="00F9294B"/>
    <w:rsid w:val="00F92C95"/>
    <w:rsid w:val="00F92ED1"/>
    <w:rsid w:val="00F93004"/>
    <w:rsid w:val="00F930C2"/>
    <w:rsid w:val="00F93729"/>
    <w:rsid w:val="00F93A4C"/>
    <w:rsid w:val="00F93B33"/>
    <w:rsid w:val="00F93E54"/>
    <w:rsid w:val="00F9436B"/>
    <w:rsid w:val="00F94770"/>
    <w:rsid w:val="00F94A23"/>
    <w:rsid w:val="00F94AD5"/>
    <w:rsid w:val="00F94B8A"/>
    <w:rsid w:val="00F950E4"/>
    <w:rsid w:val="00F9524B"/>
    <w:rsid w:val="00F95285"/>
    <w:rsid w:val="00F95364"/>
    <w:rsid w:val="00F95546"/>
    <w:rsid w:val="00F95808"/>
    <w:rsid w:val="00F95A73"/>
    <w:rsid w:val="00F95EB2"/>
    <w:rsid w:val="00F965D7"/>
    <w:rsid w:val="00F9767F"/>
    <w:rsid w:val="00F9775F"/>
    <w:rsid w:val="00F97A10"/>
    <w:rsid w:val="00FA00F6"/>
    <w:rsid w:val="00FA023E"/>
    <w:rsid w:val="00FA04B4"/>
    <w:rsid w:val="00FA050A"/>
    <w:rsid w:val="00FA16BC"/>
    <w:rsid w:val="00FA16FE"/>
    <w:rsid w:val="00FA18BC"/>
    <w:rsid w:val="00FA1F2F"/>
    <w:rsid w:val="00FA23FB"/>
    <w:rsid w:val="00FA2582"/>
    <w:rsid w:val="00FA279F"/>
    <w:rsid w:val="00FA3413"/>
    <w:rsid w:val="00FA39B3"/>
    <w:rsid w:val="00FA3E3A"/>
    <w:rsid w:val="00FA4774"/>
    <w:rsid w:val="00FA4AF6"/>
    <w:rsid w:val="00FA4E83"/>
    <w:rsid w:val="00FA53FA"/>
    <w:rsid w:val="00FA5820"/>
    <w:rsid w:val="00FA5D13"/>
    <w:rsid w:val="00FA5DC1"/>
    <w:rsid w:val="00FA5F37"/>
    <w:rsid w:val="00FA5F55"/>
    <w:rsid w:val="00FA60F7"/>
    <w:rsid w:val="00FA684A"/>
    <w:rsid w:val="00FA6C63"/>
    <w:rsid w:val="00FA6EF0"/>
    <w:rsid w:val="00FA70B5"/>
    <w:rsid w:val="00FA71A4"/>
    <w:rsid w:val="00FA7663"/>
    <w:rsid w:val="00FA7999"/>
    <w:rsid w:val="00FB0105"/>
    <w:rsid w:val="00FB0635"/>
    <w:rsid w:val="00FB0D4E"/>
    <w:rsid w:val="00FB12A3"/>
    <w:rsid w:val="00FB1B05"/>
    <w:rsid w:val="00FB23AB"/>
    <w:rsid w:val="00FB2750"/>
    <w:rsid w:val="00FB281C"/>
    <w:rsid w:val="00FB2A0E"/>
    <w:rsid w:val="00FB3586"/>
    <w:rsid w:val="00FB3957"/>
    <w:rsid w:val="00FB3E2E"/>
    <w:rsid w:val="00FB441D"/>
    <w:rsid w:val="00FB44C5"/>
    <w:rsid w:val="00FB44D1"/>
    <w:rsid w:val="00FB458B"/>
    <w:rsid w:val="00FB473A"/>
    <w:rsid w:val="00FB4B77"/>
    <w:rsid w:val="00FB5388"/>
    <w:rsid w:val="00FB54AB"/>
    <w:rsid w:val="00FB54D1"/>
    <w:rsid w:val="00FB5595"/>
    <w:rsid w:val="00FB59DA"/>
    <w:rsid w:val="00FB5BF5"/>
    <w:rsid w:val="00FB5CD9"/>
    <w:rsid w:val="00FB6A09"/>
    <w:rsid w:val="00FB6AA1"/>
    <w:rsid w:val="00FB6C28"/>
    <w:rsid w:val="00FB6E24"/>
    <w:rsid w:val="00FB6E97"/>
    <w:rsid w:val="00FB716D"/>
    <w:rsid w:val="00FB7B83"/>
    <w:rsid w:val="00FB7C58"/>
    <w:rsid w:val="00FB7D77"/>
    <w:rsid w:val="00FB7ECD"/>
    <w:rsid w:val="00FC03BD"/>
    <w:rsid w:val="00FC0574"/>
    <w:rsid w:val="00FC0957"/>
    <w:rsid w:val="00FC128C"/>
    <w:rsid w:val="00FC175F"/>
    <w:rsid w:val="00FC1818"/>
    <w:rsid w:val="00FC1F68"/>
    <w:rsid w:val="00FC286A"/>
    <w:rsid w:val="00FC2A69"/>
    <w:rsid w:val="00FC2DC3"/>
    <w:rsid w:val="00FC2F28"/>
    <w:rsid w:val="00FC3984"/>
    <w:rsid w:val="00FC3A2B"/>
    <w:rsid w:val="00FC3FF0"/>
    <w:rsid w:val="00FC441D"/>
    <w:rsid w:val="00FC4CA9"/>
    <w:rsid w:val="00FC5065"/>
    <w:rsid w:val="00FC559D"/>
    <w:rsid w:val="00FC5B41"/>
    <w:rsid w:val="00FC5F49"/>
    <w:rsid w:val="00FC60EA"/>
    <w:rsid w:val="00FC61A1"/>
    <w:rsid w:val="00FC660A"/>
    <w:rsid w:val="00FC691D"/>
    <w:rsid w:val="00FC6CC0"/>
    <w:rsid w:val="00FC6D13"/>
    <w:rsid w:val="00FC7863"/>
    <w:rsid w:val="00FC7898"/>
    <w:rsid w:val="00FC78C8"/>
    <w:rsid w:val="00FC7AEC"/>
    <w:rsid w:val="00FC7C70"/>
    <w:rsid w:val="00FD02DA"/>
    <w:rsid w:val="00FD05D2"/>
    <w:rsid w:val="00FD05E3"/>
    <w:rsid w:val="00FD06D5"/>
    <w:rsid w:val="00FD08A8"/>
    <w:rsid w:val="00FD10B5"/>
    <w:rsid w:val="00FD1126"/>
    <w:rsid w:val="00FD13A9"/>
    <w:rsid w:val="00FD18C7"/>
    <w:rsid w:val="00FD1958"/>
    <w:rsid w:val="00FD1BCE"/>
    <w:rsid w:val="00FD1C05"/>
    <w:rsid w:val="00FD1C9F"/>
    <w:rsid w:val="00FD1F35"/>
    <w:rsid w:val="00FD213B"/>
    <w:rsid w:val="00FD25F7"/>
    <w:rsid w:val="00FD2B95"/>
    <w:rsid w:val="00FD2CCB"/>
    <w:rsid w:val="00FD2F60"/>
    <w:rsid w:val="00FD302A"/>
    <w:rsid w:val="00FD3369"/>
    <w:rsid w:val="00FD404D"/>
    <w:rsid w:val="00FD409F"/>
    <w:rsid w:val="00FD40E3"/>
    <w:rsid w:val="00FD56C0"/>
    <w:rsid w:val="00FD59C7"/>
    <w:rsid w:val="00FD5A1C"/>
    <w:rsid w:val="00FD6301"/>
    <w:rsid w:val="00FD66CF"/>
    <w:rsid w:val="00FD6744"/>
    <w:rsid w:val="00FD70D9"/>
    <w:rsid w:val="00FD7252"/>
    <w:rsid w:val="00FD7732"/>
    <w:rsid w:val="00FD7F0B"/>
    <w:rsid w:val="00FE0595"/>
    <w:rsid w:val="00FE0C9D"/>
    <w:rsid w:val="00FE0FE2"/>
    <w:rsid w:val="00FE12B2"/>
    <w:rsid w:val="00FE20DC"/>
    <w:rsid w:val="00FE246E"/>
    <w:rsid w:val="00FE2D85"/>
    <w:rsid w:val="00FE301F"/>
    <w:rsid w:val="00FE30B7"/>
    <w:rsid w:val="00FE3169"/>
    <w:rsid w:val="00FE317C"/>
    <w:rsid w:val="00FE337D"/>
    <w:rsid w:val="00FE3646"/>
    <w:rsid w:val="00FE3689"/>
    <w:rsid w:val="00FE3C0B"/>
    <w:rsid w:val="00FE450F"/>
    <w:rsid w:val="00FE4519"/>
    <w:rsid w:val="00FE4BB6"/>
    <w:rsid w:val="00FE4C06"/>
    <w:rsid w:val="00FE4E3F"/>
    <w:rsid w:val="00FE5154"/>
    <w:rsid w:val="00FE51D1"/>
    <w:rsid w:val="00FE5BA7"/>
    <w:rsid w:val="00FE5D5F"/>
    <w:rsid w:val="00FE5EF9"/>
    <w:rsid w:val="00FE6040"/>
    <w:rsid w:val="00FE60FE"/>
    <w:rsid w:val="00FE617F"/>
    <w:rsid w:val="00FE6DA6"/>
    <w:rsid w:val="00FE6F64"/>
    <w:rsid w:val="00FE714D"/>
    <w:rsid w:val="00FE73AF"/>
    <w:rsid w:val="00FE7472"/>
    <w:rsid w:val="00FE796D"/>
    <w:rsid w:val="00FE7994"/>
    <w:rsid w:val="00FE7A3B"/>
    <w:rsid w:val="00FE7F83"/>
    <w:rsid w:val="00FF01AE"/>
    <w:rsid w:val="00FF0987"/>
    <w:rsid w:val="00FF110D"/>
    <w:rsid w:val="00FF1B64"/>
    <w:rsid w:val="00FF1D28"/>
    <w:rsid w:val="00FF1DE2"/>
    <w:rsid w:val="00FF2BF4"/>
    <w:rsid w:val="00FF2C15"/>
    <w:rsid w:val="00FF2C43"/>
    <w:rsid w:val="00FF2CCF"/>
    <w:rsid w:val="00FF2CE9"/>
    <w:rsid w:val="00FF35B2"/>
    <w:rsid w:val="00FF36D1"/>
    <w:rsid w:val="00FF3FD8"/>
    <w:rsid w:val="00FF4372"/>
    <w:rsid w:val="00FF4586"/>
    <w:rsid w:val="00FF46D1"/>
    <w:rsid w:val="00FF4D63"/>
    <w:rsid w:val="00FF4ED0"/>
    <w:rsid w:val="00FF4EDF"/>
    <w:rsid w:val="00FF513D"/>
    <w:rsid w:val="00FF55A8"/>
    <w:rsid w:val="00FF55BD"/>
    <w:rsid w:val="00FF5817"/>
    <w:rsid w:val="00FF5B85"/>
    <w:rsid w:val="00FF5B9D"/>
    <w:rsid w:val="00FF5BA9"/>
    <w:rsid w:val="00FF5BAA"/>
    <w:rsid w:val="00FF5BAC"/>
    <w:rsid w:val="00FF5D2A"/>
    <w:rsid w:val="00FF5F77"/>
    <w:rsid w:val="00FF6492"/>
    <w:rsid w:val="00FF66D7"/>
    <w:rsid w:val="00FF68BB"/>
    <w:rsid w:val="00FF6F86"/>
    <w:rsid w:val="00FF7396"/>
    <w:rsid w:val="00FF73B1"/>
    <w:rsid w:val="00FF777A"/>
    <w:rsid w:val="00FF7CF5"/>
    <w:rsid w:val="00FF7D55"/>
    <w:rsid w:val="011A2EDD"/>
    <w:rsid w:val="012255FD"/>
    <w:rsid w:val="012849EA"/>
    <w:rsid w:val="013263B7"/>
    <w:rsid w:val="01451A37"/>
    <w:rsid w:val="0147153B"/>
    <w:rsid w:val="015A2E5C"/>
    <w:rsid w:val="015C0772"/>
    <w:rsid w:val="01637DB4"/>
    <w:rsid w:val="018207C5"/>
    <w:rsid w:val="019329D2"/>
    <w:rsid w:val="01AF70E0"/>
    <w:rsid w:val="01B84088"/>
    <w:rsid w:val="01BA0DFC"/>
    <w:rsid w:val="01BB5B66"/>
    <w:rsid w:val="01BC4BD4"/>
    <w:rsid w:val="01D4601E"/>
    <w:rsid w:val="01E340E5"/>
    <w:rsid w:val="01E63B35"/>
    <w:rsid w:val="01EF16B5"/>
    <w:rsid w:val="01EF4F70"/>
    <w:rsid w:val="01F571E8"/>
    <w:rsid w:val="02146D2E"/>
    <w:rsid w:val="021B4775"/>
    <w:rsid w:val="02357105"/>
    <w:rsid w:val="026741BA"/>
    <w:rsid w:val="029167A1"/>
    <w:rsid w:val="029D49F9"/>
    <w:rsid w:val="02B313FF"/>
    <w:rsid w:val="02B53CFD"/>
    <w:rsid w:val="02CD7A45"/>
    <w:rsid w:val="02DA28FB"/>
    <w:rsid w:val="02DF2B9D"/>
    <w:rsid w:val="02F34191"/>
    <w:rsid w:val="030C2FF0"/>
    <w:rsid w:val="031501A2"/>
    <w:rsid w:val="03180E22"/>
    <w:rsid w:val="031E3C9D"/>
    <w:rsid w:val="032620E3"/>
    <w:rsid w:val="033B1AC6"/>
    <w:rsid w:val="0368518A"/>
    <w:rsid w:val="038D26FF"/>
    <w:rsid w:val="03A830A6"/>
    <w:rsid w:val="03BD5AE4"/>
    <w:rsid w:val="03BD766E"/>
    <w:rsid w:val="03D17D15"/>
    <w:rsid w:val="03D472D2"/>
    <w:rsid w:val="04026458"/>
    <w:rsid w:val="041D0C2D"/>
    <w:rsid w:val="04285757"/>
    <w:rsid w:val="043717A4"/>
    <w:rsid w:val="043A156C"/>
    <w:rsid w:val="04466436"/>
    <w:rsid w:val="04474B37"/>
    <w:rsid w:val="047D0CF5"/>
    <w:rsid w:val="048E08B3"/>
    <w:rsid w:val="049D12CA"/>
    <w:rsid w:val="04A2513C"/>
    <w:rsid w:val="04A41DD5"/>
    <w:rsid w:val="04C2513C"/>
    <w:rsid w:val="04C45E13"/>
    <w:rsid w:val="04C74740"/>
    <w:rsid w:val="04DA408A"/>
    <w:rsid w:val="04F55C6D"/>
    <w:rsid w:val="050339CA"/>
    <w:rsid w:val="050B2B1B"/>
    <w:rsid w:val="051A0D14"/>
    <w:rsid w:val="05230FDD"/>
    <w:rsid w:val="052A0045"/>
    <w:rsid w:val="054D0837"/>
    <w:rsid w:val="055B24C5"/>
    <w:rsid w:val="055C3754"/>
    <w:rsid w:val="05764F96"/>
    <w:rsid w:val="057B562E"/>
    <w:rsid w:val="058F3CBD"/>
    <w:rsid w:val="05942874"/>
    <w:rsid w:val="05A52CD4"/>
    <w:rsid w:val="05B22F25"/>
    <w:rsid w:val="05B24D68"/>
    <w:rsid w:val="05B550E2"/>
    <w:rsid w:val="05DD43BB"/>
    <w:rsid w:val="05EF61DB"/>
    <w:rsid w:val="05F75728"/>
    <w:rsid w:val="06076A28"/>
    <w:rsid w:val="06131DFE"/>
    <w:rsid w:val="061857A3"/>
    <w:rsid w:val="061B2F96"/>
    <w:rsid w:val="061F74EC"/>
    <w:rsid w:val="06221467"/>
    <w:rsid w:val="0626121B"/>
    <w:rsid w:val="06284AA1"/>
    <w:rsid w:val="06351DA1"/>
    <w:rsid w:val="06483DF7"/>
    <w:rsid w:val="06485055"/>
    <w:rsid w:val="0654343A"/>
    <w:rsid w:val="065A3136"/>
    <w:rsid w:val="06626E29"/>
    <w:rsid w:val="06865C52"/>
    <w:rsid w:val="06921E6A"/>
    <w:rsid w:val="06941C41"/>
    <w:rsid w:val="069A3EBB"/>
    <w:rsid w:val="069F7CB3"/>
    <w:rsid w:val="06A24A02"/>
    <w:rsid w:val="06B156A8"/>
    <w:rsid w:val="06B32CBF"/>
    <w:rsid w:val="06C218EA"/>
    <w:rsid w:val="06CD05AE"/>
    <w:rsid w:val="06D5031A"/>
    <w:rsid w:val="06D67EFC"/>
    <w:rsid w:val="06D84BB7"/>
    <w:rsid w:val="06D877E5"/>
    <w:rsid w:val="06D956B9"/>
    <w:rsid w:val="06DA20DD"/>
    <w:rsid w:val="06EA725F"/>
    <w:rsid w:val="07027703"/>
    <w:rsid w:val="070B7FBF"/>
    <w:rsid w:val="071175B2"/>
    <w:rsid w:val="07164A72"/>
    <w:rsid w:val="071C5217"/>
    <w:rsid w:val="0723152B"/>
    <w:rsid w:val="07255BCE"/>
    <w:rsid w:val="0725663B"/>
    <w:rsid w:val="07281A69"/>
    <w:rsid w:val="07385B66"/>
    <w:rsid w:val="07401C9C"/>
    <w:rsid w:val="0767470A"/>
    <w:rsid w:val="076B2340"/>
    <w:rsid w:val="07702A3C"/>
    <w:rsid w:val="0771259E"/>
    <w:rsid w:val="07AB0349"/>
    <w:rsid w:val="07D73EB7"/>
    <w:rsid w:val="07F744EC"/>
    <w:rsid w:val="084F0DA9"/>
    <w:rsid w:val="08660910"/>
    <w:rsid w:val="08746219"/>
    <w:rsid w:val="08760957"/>
    <w:rsid w:val="088968DD"/>
    <w:rsid w:val="0891753F"/>
    <w:rsid w:val="08941316"/>
    <w:rsid w:val="08981E0B"/>
    <w:rsid w:val="08990393"/>
    <w:rsid w:val="089A280D"/>
    <w:rsid w:val="08A13C26"/>
    <w:rsid w:val="08A33B28"/>
    <w:rsid w:val="08AE75C0"/>
    <w:rsid w:val="08C81D4B"/>
    <w:rsid w:val="08CC4E09"/>
    <w:rsid w:val="08CC59BD"/>
    <w:rsid w:val="08F3480C"/>
    <w:rsid w:val="09006C3C"/>
    <w:rsid w:val="09035DA2"/>
    <w:rsid w:val="094D7F6C"/>
    <w:rsid w:val="094E5F0D"/>
    <w:rsid w:val="09694018"/>
    <w:rsid w:val="09742ECE"/>
    <w:rsid w:val="09750C0F"/>
    <w:rsid w:val="09856CDA"/>
    <w:rsid w:val="098C57ED"/>
    <w:rsid w:val="09924C2B"/>
    <w:rsid w:val="09AB63DF"/>
    <w:rsid w:val="09AD65FB"/>
    <w:rsid w:val="09D45935"/>
    <w:rsid w:val="09E0077E"/>
    <w:rsid w:val="09E75392"/>
    <w:rsid w:val="0A312CF0"/>
    <w:rsid w:val="0A380914"/>
    <w:rsid w:val="0A3E4F6E"/>
    <w:rsid w:val="0A433C18"/>
    <w:rsid w:val="0A4725AB"/>
    <w:rsid w:val="0A557AA3"/>
    <w:rsid w:val="0A7F0CCB"/>
    <w:rsid w:val="0A7F7E3C"/>
    <w:rsid w:val="0A851326"/>
    <w:rsid w:val="0A873492"/>
    <w:rsid w:val="0A974BD7"/>
    <w:rsid w:val="0A983A3B"/>
    <w:rsid w:val="0A9D67E3"/>
    <w:rsid w:val="0ABB6AF5"/>
    <w:rsid w:val="0ABE14CD"/>
    <w:rsid w:val="0ACB4F8A"/>
    <w:rsid w:val="0AD623CB"/>
    <w:rsid w:val="0ADD5D6E"/>
    <w:rsid w:val="0AE0655C"/>
    <w:rsid w:val="0AEB62C3"/>
    <w:rsid w:val="0AEC3D3C"/>
    <w:rsid w:val="0AF52007"/>
    <w:rsid w:val="0AF9720D"/>
    <w:rsid w:val="0AFB3396"/>
    <w:rsid w:val="0B064214"/>
    <w:rsid w:val="0B112BB9"/>
    <w:rsid w:val="0B1743D5"/>
    <w:rsid w:val="0B207298"/>
    <w:rsid w:val="0B2F2919"/>
    <w:rsid w:val="0B5C3E34"/>
    <w:rsid w:val="0B615615"/>
    <w:rsid w:val="0B7614AA"/>
    <w:rsid w:val="0B7E674B"/>
    <w:rsid w:val="0B8E152E"/>
    <w:rsid w:val="0B92254F"/>
    <w:rsid w:val="0B9B00BF"/>
    <w:rsid w:val="0BC90EA0"/>
    <w:rsid w:val="0BE15157"/>
    <w:rsid w:val="0BEE077E"/>
    <w:rsid w:val="0BF272F1"/>
    <w:rsid w:val="0C01678A"/>
    <w:rsid w:val="0C0460EC"/>
    <w:rsid w:val="0C151BCB"/>
    <w:rsid w:val="0C1E10EA"/>
    <w:rsid w:val="0C1E31BD"/>
    <w:rsid w:val="0C41448C"/>
    <w:rsid w:val="0C605398"/>
    <w:rsid w:val="0C650F01"/>
    <w:rsid w:val="0C7358DA"/>
    <w:rsid w:val="0C863F12"/>
    <w:rsid w:val="0CA041F5"/>
    <w:rsid w:val="0CA60356"/>
    <w:rsid w:val="0CB3217A"/>
    <w:rsid w:val="0CB40E1B"/>
    <w:rsid w:val="0CB574E7"/>
    <w:rsid w:val="0CC53C5A"/>
    <w:rsid w:val="0CD228F3"/>
    <w:rsid w:val="0D0C1967"/>
    <w:rsid w:val="0D0F4ED6"/>
    <w:rsid w:val="0D1126F3"/>
    <w:rsid w:val="0D15045C"/>
    <w:rsid w:val="0D152468"/>
    <w:rsid w:val="0D162846"/>
    <w:rsid w:val="0D30650C"/>
    <w:rsid w:val="0D3249B2"/>
    <w:rsid w:val="0D3E6367"/>
    <w:rsid w:val="0D48102B"/>
    <w:rsid w:val="0D48213D"/>
    <w:rsid w:val="0D4C3D68"/>
    <w:rsid w:val="0D647392"/>
    <w:rsid w:val="0D676AC1"/>
    <w:rsid w:val="0D7511DD"/>
    <w:rsid w:val="0D827B58"/>
    <w:rsid w:val="0D852C00"/>
    <w:rsid w:val="0D904C6E"/>
    <w:rsid w:val="0DAC5243"/>
    <w:rsid w:val="0DAE5F61"/>
    <w:rsid w:val="0DB8731C"/>
    <w:rsid w:val="0DBA56CD"/>
    <w:rsid w:val="0DC40270"/>
    <w:rsid w:val="0DEB6B7E"/>
    <w:rsid w:val="0E104B2E"/>
    <w:rsid w:val="0E2F2E06"/>
    <w:rsid w:val="0E350C46"/>
    <w:rsid w:val="0E3D1FBA"/>
    <w:rsid w:val="0E471147"/>
    <w:rsid w:val="0E580E93"/>
    <w:rsid w:val="0E5D2793"/>
    <w:rsid w:val="0E7528F5"/>
    <w:rsid w:val="0E9429BE"/>
    <w:rsid w:val="0EA55AF2"/>
    <w:rsid w:val="0EB8023C"/>
    <w:rsid w:val="0EBC4BEA"/>
    <w:rsid w:val="0EC26434"/>
    <w:rsid w:val="0ED87DE2"/>
    <w:rsid w:val="0EDF23E7"/>
    <w:rsid w:val="0EE06869"/>
    <w:rsid w:val="0EE07BBE"/>
    <w:rsid w:val="0EF9722A"/>
    <w:rsid w:val="0F252946"/>
    <w:rsid w:val="0F2C0E4B"/>
    <w:rsid w:val="0F2D7FC5"/>
    <w:rsid w:val="0F305FF6"/>
    <w:rsid w:val="0F3C4FFD"/>
    <w:rsid w:val="0F4E024E"/>
    <w:rsid w:val="0F4E5AA9"/>
    <w:rsid w:val="0F5B1DC1"/>
    <w:rsid w:val="0F75229F"/>
    <w:rsid w:val="0F811A5E"/>
    <w:rsid w:val="0F9055C9"/>
    <w:rsid w:val="0F98542E"/>
    <w:rsid w:val="0FA474F7"/>
    <w:rsid w:val="0FA8351A"/>
    <w:rsid w:val="0FA97864"/>
    <w:rsid w:val="0FAD01D2"/>
    <w:rsid w:val="0FB104C7"/>
    <w:rsid w:val="0FCE7EE6"/>
    <w:rsid w:val="0FD46924"/>
    <w:rsid w:val="0FFF7732"/>
    <w:rsid w:val="100A60AD"/>
    <w:rsid w:val="102A2753"/>
    <w:rsid w:val="10506BDE"/>
    <w:rsid w:val="105C6742"/>
    <w:rsid w:val="107E1EF9"/>
    <w:rsid w:val="107E7210"/>
    <w:rsid w:val="107F4F19"/>
    <w:rsid w:val="1094339B"/>
    <w:rsid w:val="10972567"/>
    <w:rsid w:val="10A06A24"/>
    <w:rsid w:val="10A529E9"/>
    <w:rsid w:val="10B94F97"/>
    <w:rsid w:val="10BD35C7"/>
    <w:rsid w:val="10C377C2"/>
    <w:rsid w:val="10C71726"/>
    <w:rsid w:val="10DD281B"/>
    <w:rsid w:val="10E32902"/>
    <w:rsid w:val="10F333A5"/>
    <w:rsid w:val="10F42D61"/>
    <w:rsid w:val="10F845FF"/>
    <w:rsid w:val="11000E22"/>
    <w:rsid w:val="11012D64"/>
    <w:rsid w:val="11057C73"/>
    <w:rsid w:val="110A7E8F"/>
    <w:rsid w:val="111863FF"/>
    <w:rsid w:val="113917C7"/>
    <w:rsid w:val="114F61E9"/>
    <w:rsid w:val="11633445"/>
    <w:rsid w:val="11723DB6"/>
    <w:rsid w:val="117A7421"/>
    <w:rsid w:val="118C4D48"/>
    <w:rsid w:val="11927D7E"/>
    <w:rsid w:val="11A06B6C"/>
    <w:rsid w:val="11A4247A"/>
    <w:rsid w:val="11C935F6"/>
    <w:rsid w:val="11D30A98"/>
    <w:rsid w:val="11DC0871"/>
    <w:rsid w:val="11ED7005"/>
    <w:rsid w:val="12173750"/>
    <w:rsid w:val="12283B40"/>
    <w:rsid w:val="12364185"/>
    <w:rsid w:val="123C171C"/>
    <w:rsid w:val="12454595"/>
    <w:rsid w:val="12760F70"/>
    <w:rsid w:val="127E218C"/>
    <w:rsid w:val="128961CA"/>
    <w:rsid w:val="128A0189"/>
    <w:rsid w:val="12902616"/>
    <w:rsid w:val="12931266"/>
    <w:rsid w:val="1298204F"/>
    <w:rsid w:val="12A36329"/>
    <w:rsid w:val="12AD0177"/>
    <w:rsid w:val="12B1751E"/>
    <w:rsid w:val="12C329EB"/>
    <w:rsid w:val="12C8192C"/>
    <w:rsid w:val="12CF06BD"/>
    <w:rsid w:val="12E3308D"/>
    <w:rsid w:val="12E61E14"/>
    <w:rsid w:val="12EB4A09"/>
    <w:rsid w:val="12EF1A32"/>
    <w:rsid w:val="12F06155"/>
    <w:rsid w:val="12F721A2"/>
    <w:rsid w:val="1305241F"/>
    <w:rsid w:val="131E7C21"/>
    <w:rsid w:val="132231F6"/>
    <w:rsid w:val="1337060A"/>
    <w:rsid w:val="13415C93"/>
    <w:rsid w:val="13495DC9"/>
    <w:rsid w:val="134E6D44"/>
    <w:rsid w:val="135E4A3B"/>
    <w:rsid w:val="136C4E31"/>
    <w:rsid w:val="13714B85"/>
    <w:rsid w:val="137B1518"/>
    <w:rsid w:val="138C120A"/>
    <w:rsid w:val="139D38CC"/>
    <w:rsid w:val="13A53C8D"/>
    <w:rsid w:val="13C705D9"/>
    <w:rsid w:val="13F866C4"/>
    <w:rsid w:val="14126C80"/>
    <w:rsid w:val="141C4BDF"/>
    <w:rsid w:val="14217FB9"/>
    <w:rsid w:val="142A4F0C"/>
    <w:rsid w:val="143A0A8B"/>
    <w:rsid w:val="143F754A"/>
    <w:rsid w:val="14442FEE"/>
    <w:rsid w:val="14553DBA"/>
    <w:rsid w:val="14606743"/>
    <w:rsid w:val="1494748A"/>
    <w:rsid w:val="149F12D4"/>
    <w:rsid w:val="14A63BD7"/>
    <w:rsid w:val="14C31A4B"/>
    <w:rsid w:val="14E01DE9"/>
    <w:rsid w:val="14F0632F"/>
    <w:rsid w:val="14FD6301"/>
    <w:rsid w:val="15013E3F"/>
    <w:rsid w:val="150F0169"/>
    <w:rsid w:val="151C7F6C"/>
    <w:rsid w:val="152359C3"/>
    <w:rsid w:val="15242CD7"/>
    <w:rsid w:val="15437366"/>
    <w:rsid w:val="154F122A"/>
    <w:rsid w:val="15520056"/>
    <w:rsid w:val="1571214C"/>
    <w:rsid w:val="15906A36"/>
    <w:rsid w:val="159B456A"/>
    <w:rsid w:val="15BB6783"/>
    <w:rsid w:val="15BC39F9"/>
    <w:rsid w:val="15BD7BC5"/>
    <w:rsid w:val="15C245AC"/>
    <w:rsid w:val="15CE2F2A"/>
    <w:rsid w:val="15D15C04"/>
    <w:rsid w:val="15D612E1"/>
    <w:rsid w:val="15DE353A"/>
    <w:rsid w:val="15E612B1"/>
    <w:rsid w:val="16021A3F"/>
    <w:rsid w:val="160D538A"/>
    <w:rsid w:val="16373839"/>
    <w:rsid w:val="1640652C"/>
    <w:rsid w:val="165F0891"/>
    <w:rsid w:val="166D15EC"/>
    <w:rsid w:val="166E2DC4"/>
    <w:rsid w:val="16802341"/>
    <w:rsid w:val="168647DF"/>
    <w:rsid w:val="168D46F3"/>
    <w:rsid w:val="169A0333"/>
    <w:rsid w:val="169A3A63"/>
    <w:rsid w:val="169F20A8"/>
    <w:rsid w:val="16A13043"/>
    <w:rsid w:val="16BA4105"/>
    <w:rsid w:val="16D9423B"/>
    <w:rsid w:val="16E27E76"/>
    <w:rsid w:val="16EF4EE4"/>
    <w:rsid w:val="16F6070A"/>
    <w:rsid w:val="16FA7BB2"/>
    <w:rsid w:val="17061E53"/>
    <w:rsid w:val="17077517"/>
    <w:rsid w:val="170A6E3A"/>
    <w:rsid w:val="17182EB0"/>
    <w:rsid w:val="17241F50"/>
    <w:rsid w:val="1741763C"/>
    <w:rsid w:val="174E374F"/>
    <w:rsid w:val="17506647"/>
    <w:rsid w:val="175320DA"/>
    <w:rsid w:val="17551A60"/>
    <w:rsid w:val="175C441B"/>
    <w:rsid w:val="17797B1C"/>
    <w:rsid w:val="177F342F"/>
    <w:rsid w:val="178D35C8"/>
    <w:rsid w:val="17935082"/>
    <w:rsid w:val="179C1E93"/>
    <w:rsid w:val="17AF5481"/>
    <w:rsid w:val="17D17958"/>
    <w:rsid w:val="17DC0C79"/>
    <w:rsid w:val="17E62034"/>
    <w:rsid w:val="17EC62B3"/>
    <w:rsid w:val="17F86582"/>
    <w:rsid w:val="18005261"/>
    <w:rsid w:val="18023FB5"/>
    <w:rsid w:val="180259D3"/>
    <w:rsid w:val="18075128"/>
    <w:rsid w:val="180E03D6"/>
    <w:rsid w:val="18182FF7"/>
    <w:rsid w:val="181B6E25"/>
    <w:rsid w:val="1846070A"/>
    <w:rsid w:val="18491BE4"/>
    <w:rsid w:val="186A1A66"/>
    <w:rsid w:val="187648CC"/>
    <w:rsid w:val="1882031F"/>
    <w:rsid w:val="189269D8"/>
    <w:rsid w:val="18B076AF"/>
    <w:rsid w:val="18D703F8"/>
    <w:rsid w:val="18E06540"/>
    <w:rsid w:val="18E65C83"/>
    <w:rsid w:val="18F1652C"/>
    <w:rsid w:val="190B455D"/>
    <w:rsid w:val="190C0006"/>
    <w:rsid w:val="19181F30"/>
    <w:rsid w:val="19247848"/>
    <w:rsid w:val="192C259E"/>
    <w:rsid w:val="193A6353"/>
    <w:rsid w:val="19595462"/>
    <w:rsid w:val="19602C5A"/>
    <w:rsid w:val="19805BE4"/>
    <w:rsid w:val="199E31FA"/>
    <w:rsid w:val="19AF6181"/>
    <w:rsid w:val="19EB5FFB"/>
    <w:rsid w:val="1A0F29BA"/>
    <w:rsid w:val="1A1406EF"/>
    <w:rsid w:val="1A21732F"/>
    <w:rsid w:val="1A29398A"/>
    <w:rsid w:val="1A2A6496"/>
    <w:rsid w:val="1A4428B3"/>
    <w:rsid w:val="1A4954A7"/>
    <w:rsid w:val="1A4D766F"/>
    <w:rsid w:val="1A53450F"/>
    <w:rsid w:val="1A5807E0"/>
    <w:rsid w:val="1A590DB6"/>
    <w:rsid w:val="1A5E378A"/>
    <w:rsid w:val="1A660973"/>
    <w:rsid w:val="1A6800C5"/>
    <w:rsid w:val="1A696A36"/>
    <w:rsid w:val="1A6D2150"/>
    <w:rsid w:val="1A837F65"/>
    <w:rsid w:val="1A8B61AF"/>
    <w:rsid w:val="1A9760A5"/>
    <w:rsid w:val="1AA91B93"/>
    <w:rsid w:val="1ABA4B6D"/>
    <w:rsid w:val="1AC96F8C"/>
    <w:rsid w:val="1AE60AE2"/>
    <w:rsid w:val="1AF13750"/>
    <w:rsid w:val="1AF6260A"/>
    <w:rsid w:val="1AFC2F3E"/>
    <w:rsid w:val="1B032A95"/>
    <w:rsid w:val="1B0A15D1"/>
    <w:rsid w:val="1B1570B9"/>
    <w:rsid w:val="1B256474"/>
    <w:rsid w:val="1B2D33DC"/>
    <w:rsid w:val="1B3A21B4"/>
    <w:rsid w:val="1B437186"/>
    <w:rsid w:val="1B651F1E"/>
    <w:rsid w:val="1B6F6761"/>
    <w:rsid w:val="1B854E17"/>
    <w:rsid w:val="1B951FED"/>
    <w:rsid w:val="1BA35DC3"/>
    <w:rsid w:val="1BA37CAA"/>
    <w:rsid w:val="1BBF10A4"/>
    <w:rsid w:val="1BD93D51"/>
    <w:rsid w:val="1BDD5BAE"/>
    <w:rsid w:val="1BE00B6B"/>
    <w:rsid w:val="1BF138E6"/>
    <w:rsid w:val="1BF85EAA"/>
    <w:rsid w:val="1C125C5E"/>
    <w:rsid w:val="1C1307D0"/>
    <w:rsid w:val="1C133F53"/>
    <w:rsid w:val="1C211B0D"/>
    <w:rsid w:val="1C22313E"/>
    <w:rsid w:val="1C3A7C3D"/>
    <w:rsid w:val="1C3B30F7"/>
    <w:rsid w:val="1C3F368D"/>
    <w:rsid w:val="1C4B6BE5"/>
    <w:rsid w:val="1C597C54"/>
    <w:rsid w:val="1C5E75FF"/>
    <w:rsid w:val="1C6D6F98"/>
    <w:rsid w:val="1C7C7BC7"/>
    <w:rsid w:val="1C892216"/>
    <w:rsid w:val="1C9E699B"/>
    <w:rsid w:val="1CB3019C"/>
    <w:rsid w:val="1CB66291"/>
    <w:rsid w:val="1CD3253C"/>
    <w:rsid w:val="1CDF35C0"/>
    <w:rsid w:val="1CFD2DEB"/>
    <w:rsid w:val="1D28001A"/>
    <w:rsid w:val="1D2A6336"/>
    <w:rsid w:val="1D2E7323"/>
    <w:rsid w:val="1D322C47"/>
    <w:rsid w:val="1D38458C"/>
    <w:rsid w:val="1D3C3AC6"/>
    <w:rsid w:val="1D4666F2"/>
    <w:rsid w:val="1D482319"/>
    <w:rsid w:val="1D4A0053"/>
    <w:rsid w:val="1D6039FF"/>
    <w:rsid w:val="1D6F3E9B"/>
    <w:rsid w:val="1D852999"/>
    <w:rsid w:val="1D8B46DF"/>
    <w:rsid w:val="1D9E495B"/>
    <w:rsid w:val="1DA22972"/>
    <w:rsid w:val="1DA26BC0"/>
    <w:rsid w:val="1DAA213C"/>
    <w:rsid w:val="1DAF7964"/>
    <w:rsid w:val="1DB6753A"/>
    <w:rsid w:val="1DBC4493"/>
    <w:rsid w:val="1DE06B47"/>
    <w:rsid w:val="1DE7441B"/>
    <w:rsid w:val="1DF02ABF"/>
    <w:rsid w:val="1DFA09B4"/>
    <w:rsid w:val="1E056F8F"/>
    <w:rsid w:val="1E137D55"/>
    <w:rsid w:val="1E144840"/>
    <w:rsid w:val="1E237085"/>
    <w:rsid w:val="1E2C64F2"/>
    <w:rsid w:val="1E455980"/>
    <w:rsid w:val="1E6B73A1"/>
    <w:rsid w:val="1E764B7F"/>
    <w:rsid w:val="1E80549E"/>
    <w:rsid w:val="1E935967"/>
    <w:rsid w:val="1E9E2475"/>
    <w:rsid w:val="1EB12B65"/>
    <w:rsid w:val="1EBB7CA2"/>
    <w:rsid w:val="1EC643BF"/>
    <w:rsid w:val="1ECD6378"/>
    <w:rsid w:val="1ED26636"/>
    <w:rsid w:val="1EDB44A5"/>
    <w:rsid w:val="1EDC0D2E"/>
    <w:rsid w:val="1EE80384"/>
    <w:rsid w:val="1EFD4E4A"/>
    <w:rsid w:val="1F210279"/>
    <w:rsid w:val="1F372105"/>
    <w:rsid w:val="1F3F518A"/>
    <w:rsid w:val="1F4368A7"/>
    <w:rsid w:val="1F4F6644"/>
    <w:rsid w:val="1F6A6072"/>
    <w:rsid w:val="1F7B0B1F"/>
    <w:rsid w:val="1FA616CA"/>
    <w:rsid w:val="1FB26C7D"/>
    <w:rsid w:val="1FB80409"/>
    <w:rsid w:val="1FD224BF"/>
    <w:rsid w:val="1FD53D5E"/>
    <w:rsid w:val="1FD76A9E"/>
    <w:rsid w:val="1FEB6E2D"/>
    <w:rsid w:val="1FF16DE9"/>
    <w:rsid w:val="20014214"/>
    <w:rsid w:val="200563F1"/>
    <w:rsid w:val="2007355B"/>
    <w:rsid w:val="202115C5"/>
    <w:rsid w:val="20324D08"/>
    <w:rsid w:val="204B1825"/>
    <w:rsid w:val="20570941"/>
    <w:rsid w:val="20572ED4"/>
    <w:rsid w:val="205F6730"/>
    <w:rsid w:val="207A7861"/>
    <w:rsid w:val="207F47CC"/>
    <w:rsid w:val="208C266E"/>
    <w:rsid w:val="2096579F"/>
    <w:rsid w:val="20C547C1"/>
    <w:rsid w:val="20D352B4"/>
    <w:rsid w:val="20D74898"/>
    <w:rsid w:val="20DC5F7A"/>
    <w:rsid w:val="21025906"/>
    <w:rsid w:val="211A25C6"/>
    <w:rsid w:val="21207866"/>
    <w:rsid w:val="2122320D"/>
    <w:rsid w:val="212830F7"/>
    <w:rsid w:val="214040DB"/>
    <w:rsid w:val="21487573"/>
    <w:rsid w:val="214A5240"/>
    <w:rsid w:val="214E7A3E"/>
    <w:rsid w:val="215C75E3"/>
    <w:rsid w:val="2176064F"/>
    <w:rsid w:val="217F548F"/>
    <w:rsid w:val="21816EBE"/>
    <w:rsid w:val="21A430F3"/>
    <w:rsid w:val="21BE0F4D"/>
    <w:rsid w:val="21C449C8"/>
    <w:rsid w:val="21CA5B44"/>
    <w:rsid w:val="21CE3CF5"/>
    <w:rsid w:val="21D210F2"/>
    <w:rsid w:val="21D51C5D"/>
    <w:rsid w:val="21E370F0"/>
    <w:rsid w:val="21E96D85"/>
    <w:rsid w:val="21EA7A2A"/>
    <w:rsid w:val="21F8438B"/>
    <w:rsid w:val="22111326"/>
    <w:rsid w:val="22150E58"/>
    <w:rsid w:val="22416136"/>
    <w:rsid w:val="22455037"/>
    <w:rsid w:val="2249124A"/>
    <w:rsid w:val="224C2F66"/>
    <w:rsid w:val="224F0CE4"/>
    <w:rsid w:val="226643F2"/>
    <w:rsid w:val="226E2973"/>
    <w:rsid w:val="228C104B"/>
    <w:rsid w:val="22970B49"/>
    <w:rsid w:val="22A75B80"/>
    <w:rsid w:val="22A952DA"/>
    <w:rsid w:val="22AE3546"/>
    <w:rsid w:val="22C47BC7"/>
    <w:rsid w:val="22C62DB7"/>
    <w:rsid w:val="22D34DF8"/>
    <w:rsid w:val="231539D2"/>
    <w:rsid w:val="23220089"/>
    <w:rsid w:val="232C0588"/>
    <w:rsid w:val="23331C03"/>
    <w:rsid w:val="2377379D"/>
    <w:rsid w:val="23A60433"/>
    <w:rsid w:val="23B13C1C"/>
    <w:rsid w:val="2407660F"/>
    <w:rsid w:val="2409034F"/>
    <w:rsid w:val="24176557"/>
    <w:rsid w:val="241E0F96"/>
    <w:rsid w:val="241E5CD3"/>
    <w:rsid w:val="242157C3"/>
    <w:rsid w:val="2424101B"/>
    <w:rsid w:val="24377082"/>
    <w:rsid w:val="24436234"/>
    <w:rsid w:val="24455EFC"/>
    <w:rsid w:val="244672E7"/>
    <w:rsid w:val="24567688"/>
    <w:rsid w:val="245C5E22"/>
    <w:rsid w:val="246851A0"/>
    <w:rsid w:val="246D2675"/>
    <w:rsid w:val="24701379"/>
    <w:rsid w:val="24725782"/>
    <w:rsid w:val="2490092D"/>
    <w:rsid w:val="24A1075E"/>
    <w:rsid w:val="24A618C3"/>
    <w:rsid w:val="24BC729A"/>
    <w:rsid w:val="24C31192"/>
    <w:rsid w:val="24F83025"/>
    <w:rsid w:val="24FB4266"/>
    <w:rsid w:val="251C556A"/>
    <w:rsid w:val="25311A36"/>
    <w:rsid w:val="254A21E5"/>
    <w:rsid w:val="256132F8"/>
    <w:rsid w:val="25663635"/>
    <w:rsid w:val="256C2C49"/>
    <w:rsid w:val="25742549"/>
    <w:rsid w:val="25780423"/>
    <w:rsid w:val="25933DEF"/>
    <w:rsid w:val="259A5950"/>
    <w:rsid w:val="25C75D7D"/>
    <w:rsid w:val="25CE035B"/>
    <w:rsid w:val="25DC15A6"/>
    <w:rsid w:val="25E371D4"/>
    <w:rsid w:val="26260F96"/>
    <w:rsid w:val="262D2AEF"/>
    <w:rsid w:val="26397294"/>
    <w:rsid w:val="263E1BFE"/>
    <w:rsid w:val="26410826"/>
    <w:rsid w:val="264419A5"/>
    <w:rsid w:val="264C3C4C"/>
    <w:rsid w:val="264E003E"/>
    <w:rsid w:val="26551EAD"/>
    <w:rsid w:val="26657CE1"/>
    <w:rsid w:val="26663961"/>
    <w:rsid w:val="2682458C"/>
    <w:rsid w:val="268553B8"/>
    <w:rsid w:val="26865DB2"/>
    <w:rsid w:val="26917F35"/>
    <w:rsid w:val="26963F04"/>
    <w:rsid w:val="26A2389B"/>
    <w:rsid w:val="26BE554B"/>
    <w:rsid w:val="26C170A9"/>
    <w:rsid w:val="26CE5E56"/>
    <w:rsid w:val="26D40EE4"/>
    <w:rsid w:val="26D42FC1"/>
    <w:rsid w:val="26DB2E7C"/>
    <w:rsid w:val="26DC4670"/>
    <w:rsid w:val="26EB1EFE"/>
    <w:rsid w:val="26F60AFB"/>
    <w:rsid w:val="26F87919"/>
    <w:rsid w:val="271B0BF0"/>
    <w:rsid w:val="272C0721"/>
    <w:rsid w:val="273B094A"/>
    <w:rsid w:val="274A0A0A"/>
    <w:rsid w:val="275D315F"/>
    <w:rsid w:val="275E793D"/>
    <w:rsid w:val="27616348"/>
    <w:rsid w:val="276931ED"/>
    <w:rsid w:val="276F13D0"/>
    <w:rsid w:val="277517F6"/>
    <w:rsid w:val="27900059"/>
    <w:rsid w:val="27A00B8D"/>
    <w:rsid w:val="27B33682"/>
    <w:rsid w:val="27C44F42"/>
    <w:rsid w:val="27CA6A33"/>
    <w:rsid w:val="27EC1354"/>
    <w:rsid w:val="27FB214B"/>
    <w:rsid w:val="2804115C"/>
    <w:rsid w:val="281D059A"/>
    <w:rsid w:val="281E1A8F"/>
    <w:rsid w:val="2853105B"/>
    <w:rsid w:val="286A598B"/>
    <w:rsid w:val="287B4B40"/>
    <w:rsid w:val="288267FA"/>
    <w:rsid w:val="28A01DEF"/>
    <w:rsid w:val="28B3137C"/>
    <w:rsid w:val="28BA4810"/>
    <w:rsid w:val="28C54F4A"/>
    <w:rsid w:val="29060E10"/>
    <w:rsid w:val="29177195"/>
    <w:rsid w:val="292875F4"/>
    <w:rsid w:val="2935344F"/>
    <w:rsid w:val="293C5766"/>
    <w:rsid w:val="294E15FA"/>
    <w:rsid w:val="294F1AE8"/>
    <w:rsid w:val="29507F91"/>
    <w:rsid w:val="295705D9"/>
    <w:rsid w:val="295C1F21"/>
    <w:rsid w:val="295F594B"/>
    <w:rsid w:val="298D15B4"/>
    <w:rsid w:val="298F423B"/>
    <w:rsid w:val="299B3521"/>
    <w:rsid w:val="29B90538"/>
    <w:rsid w:val="29C65192"/>
    <w:rsid w:val="29C84C30"/>
    <w:rsid w:val="29CA2E6A"/>
    <w:rsid w:val="29CB3855"/>
    <w:rsid w:val="29CB6407"/>
    <w:rsid w:val="29D968B3"/>
    <w:rsid w:val="29E12EF9"/>
    <w:rsid w:val="2A19237C"/>
    <w:rsid w:val="2A1969F8"/>
    <w:rsid w:val="2A351FC9"/>
    <w:rsid w:val="2A4C0014"/>
    <w:rsid w:val="2A5D254A"/>
    <w:rsid w:val="2A6121AD"/>
    <w:rsid w:val="2AA60206"/>
    <w:rsid w:val="2AAA232F"/>
    <w:rsid w:val="2ABC21C4"/>
    <w:rsid w:val="2AC904BB"/>
    <w:rsid w:val="2ADC307D"/>
    <w:rsid w:val="2AE345EA"/>
    <w:rsid w:val="2AF4778E"/>
    <w:rsid w:val="2AF53545"/>
    <w:rsid w:val="2B03512A"/>
    <w:rsid w:val="2B1478F1"/>
    <w:rsid w:val="2B2E0440"/>
    <w:rsid w:val="2B337B28"/>
    <w:rsid w:val="2B4066FB"/>
    <w:rsid w:val="2B454D76"/>
    <w:rsid w:val="2B4E281E"/>
    <w:rsid w:val="2B4E4B6E"/>
    <w:rsid w:val="2B54764A"/>
    <w:rsid w:val="2B573C92"/>
    <w:rsid w:val="2B5A1ACA"/>
    <w:rsid w:val="2B894753"/>
    <w:rsid w:val="2B981BF6"/>
    <w:rsid w:val="2BA734FF"/>
    <w:rsid w:val="2BC965C4"/>
    <w:rsid w:val="2BCF4FB3"/>
    <w:rsid w:val="2BD66325"/>
    <w:rsid w:val="2BDA298B"/>
    <w:rsid w:val="2BDD6474"/>
    <w:rsid w:val="2BFF790C"/>
    <w:rsid w:val="2C12494D"/>
    <w:rsid w:val="2C1D4AC2"/>
    <w:rsid w:val="2C273185"/>
    <w:rsid w:val="2C30323C"/>
    <w:rsid w:val="2C352AA2"/>
    <w:rsid w:val="2C471B99"/>
    <w:rsid w:val="2C532E20"/>
    <w:rsid w:val="2C54075B"/>
    <w:rsid w:val="2C616CDD"/>
    <w:rsid w:val="2C646B95"/>
    <w:rsid w:val="2C682C19"/>
    <w:rsid w:val="2C6F1F43"/>
    <w:rsid w:val="2C743568"/>
    <w:rsid w:val="2CBD1024"/>
    <w:rsid w:val="2CBF4115"/>
    <w:rsid w:val="2CDE3FD0"/>
    <w:rsid w:val="2CE237B9"/>
    <w:rsid w:val="2CE576AE"/>
    <w:rsid w:val="2CF1273E"/>
    <w:rsid w:val="2CFC6E58"/>
    <w:rsid w:val="2D0619FA"/>
    <w:rsid w:val="2D083EF6"/>
    <w:rsid w:val="2D1D7825"/>
    <w:rsid w:val="2D2920C5"/>
    <w:rsid w:val="2D4230FF"/>
    <w:rsid w:val="2D4D13D7"/>
    <w:rsid w:val="2D5263F4"/>
    <w:rsid w:val="2D6D0476"/>
    <w:rsid w:val="2D73024D"/>
    <w:rsid w:val="2D824C2D"/>
    <w:rsid w:val="2DAB6D8E"/>
    <w:rsid w:val="2DAD4B85"/>
    <w:rsid w:val="2DBD47AF"/>
    <w:rsid w:val="2DC22E44"/>
    <w:rsid w:val="2DCD2AB1"/>
    <w:rsid w:val="2DCE2518"/>
    <w:rsid w:val="2DD91ED6"/>
    <w:rsid w:val="2DF02595"/>
    <w:rsid w:val="2E145FA7"/>
    <w:rsid w:val="2E2068F4"/>
    <w:rsid w:val="2E3413BA"/>
    <w:rsid w:val="2E3A3A46"/>
    <w:rsid w:val="2E423CC0"/>
    <w:rsid w:val="2E4C7EF7"/>
    <w:rsid w:val="2E5B44BE"/>
    <w:rsid w:val="2E7051D8"/>
    <w:rsid w:val="2E756324"/>
    <w:rsid w:val="2E7B4D86"/>
    <w:rsid w:val="2E7C7B84"/>
    <w:rsid w:val="2E980D78"/>
    <w:rsid w:val="2E9A4AF0"/>
    <w:rsid w:val="2E9D1B1E"/>
    <w:rsid w:val="2EB77D11"/>
    <w:rsid w:val="2ED63E7B"/>
    <w:rsid w:val="2F0F5496"/>
    <w:rsid w:val="2F1B07A4"/>
    <w:rsid w:val="2F1E3F63"/>
    <w:rsid w:val="2F242FAB"/>
    <w:rsid w:val="2F2B3775"/>
    <w:rsid w:val="2F2D4028"/>
    <w:rsid w:val="2F337F57"/>
    <w:rsid w:val="2F364819"/>
    <w:rsid w:val="2F382B1B"/>
    <w:rsid w:val="2F545742"/>
    <w:rsid w:val="2F636306"/>
    <w:rsid w:val="2F7E1D1C"/>
    <w:rsid w:val="2F837A8E"/>
    <w:rsid w:val="2F840ECF"/>
    <w:rsid w:val="2F882B06"/>
    <w:rsid w:val="2F942A1D"/>
    <w:rsid w:val="2FA84FEB"/>
    <w:rsid w:val="2FD85C61"/>
    <w:rsid w:val="2FEA3AF3"/>
    <w:rsid w:val="2FEC6E2D"/>
    <w:rsid w:val="2FEE50F3"/>
    <w:rsid w:val="2FF25BF6"/>
    <w:rsid w:val="30064557"/>
    <w:rsid w:val="30160939"/>
    <w:rsid w:val="30221572"/>
    <w:rsid w:val="302953C9"/>
    <w:rsid w:val="302F11D3"/>
    <w:rsid w:val="303E4924"/>
    <w:rsid w:val="303F0ADB"/>
    <w:rsid w:val="304F2E80"/>
    <w:rsid w:val="3054717A"/>
    <w:rsid w:val="306A323B"/>
    <w:rsid w:val="30AE1807"/>
    <w:rsid w:val="30C554AE"/>
    <w:rsid w:val="30CF7333"/>
    <w:rsid w:val="30D02749"/>
    <w:rsid w:val="30E97669"/>
    <w:rsid w:val="30F779FC"/>
    <w:rsid w:val="31083793"/>
    <w:rsid w:val="311D39A9"/>
    <w:rsid w:val="312D200C"/>
    <w:rsid w:val="314C4230"/>
    <w:rsid w:val="315155D2"/>
    <w:rsid w:val="31803A8A"/>
    <w:rsid w:val="318C402E"/>
    <w:rsid w:val="31AC04A0"/>
    <w:rsid w:val="31B12DD7"/>
    <w:rsid w:val="31BC3E2D"/>
    <w:rsid w:val="31BD7287"/>
    <w:rsid w:val="31C50E9D"/>
    <w:rsid w:val="31D40319"/>
    <w:rsid w:val="31DD0EC4"/>
    <w:rsid w:val="31E83DC4"/>
    <w:rsid w:val="31E922CD"/>
    <w:rsid w:val="31F40451"/>
    <w:rsid w:val="320A150B"/>
    <w:rsid w:val="320E314E"/>
    <w:rsid w:val="321D378C"/>
    <w:rsid w:val="322112BA"/>
    <w:rsid w:val="32225597"/>
    <w:rsid w:val="32271187"/>
    <w:rsid w:val="32274BCA"/>
    <w:rsid w:val="323B1FB0"/>
    <w:rsid w:val="32557796"/>
    <w:rsid w:val="32674112"/>
    <w:rsid w:val="326E6AC2"/>
    <w:rsid w:val="32751EF4"/>
    <w:rsid w:val="32807B59"/>
    <w:rsid w:val="32877139"/>
    <w:rsid w:val="328E488E"/>
    <w:rsid w:val="329F1E11"/>
    <w:rsid w:val="32BD5436"/>
    <w:rsid w:val="32C769A2"/>
    <w:rsid w:val="32C77A72"/>
    <w:rsid w:val="32CC7B0D"/>
    <w:rsid w:val="32D82DAC"/>
    <w:rsid w:val="32D920FD"/>
    <w:rsid w:val="32E00942"/>
    <w:rsid w:val="32E620B2"/>
    <w:rsid w:val="32EE540A"/>
    <w:rsid w:val="32F373C9"/>
    <w:rsid w:val="33027441"/>
    <w:rsid w:val="33304A84"/>
    <w:rsid w:val="33655E52"/>
    <w:rsid w:val="33737ED1"/>
    <w:rsid w:val="33794718"/>
    <w:rsid w:val="338276C2"/>
    <w:rsid w:val="33833DA5"/>
    <w:rsid w:val="338351D2"/>
    <w:rsid w:val="33864572"/>
    <w:rsid w:val="338A5133"/>
    <w:rsid w:val="338D6E56"/>
    <w:rsid w:val="338F274A"/>
    <w:rsid w:val="339447B8"/>
    <w:rsid w:val="339935C8"/>
    <w:rsid w:val="339B3BE0"/>
    <w:rsid w:val="33A52F5F"/>
    <w:rsid w:val="33AC123E"/>
    <w:rsid w:val="33AC40AF"/>
    <w:rsid w:val="33CC3D88"/>
    <w:rsid w:val="33CE67EE"/>
    <w:rsid w:val="33DA124C"/>
    <w:rsid w:val="3431735D"/>
    <w:rsid w:val="343A6621"/>
    <w:rsid w:val="344D22A2"/>
    <w:rsid w:val="3457715D"/>
    <w:rsid w:val="348F6779"/>
    <w:rsid w:val="34A1735C"/>
    <w:rsid w:val="34A33ABC"/>
    <w:rsid w:val="34AA0100"/>
    <w:rsid w:val="34BF2C8B"/>
    <w:rsid w:val="34CB0BF6"/>
    <w:rsid w:val="34EC6120"/>
    <w:rsid w:val="350C2599"/>
    <w:rsid w:val="35587FB1"/>
    <w:rsid w:val="355A4FAD"/>
    <w:rsid w:val="355C1F7D"/>
    <w:rsid w:val="35700359"/>
    <w:rsid w:val="357730E5"/>
    <w:rsid w:val="357D7B5A"/>
    <w:rsid w:val="35933E65"/>
    <w:rsid w:val="359F0029"/>
    <w:rsid w:val="35AA2F7F"/>
    <w:rsid w:val="35C34356"/>
    <w:rsid w:val="35C851F0"/>
    <w:rsid w:val="35DC3A46"/>
    <w:rsid w:val="36000A5F"/>
    <w:rsid w:val="36122B6B"/>
    <w:rsid w:val="362164D0"/>
    <w:rsid w:val="36271B1E"/>
    <w:rsid w:val="36511910"/>
    <w:rsid w:val="365D6A4C"/>
    <w:rsid w:val="367774C5"/>
    <w:rsid w:val="36887EA6"/>
    <w:rsid w:val="369F4AC7"/>
    <w:rsid w:val="36A7245B"/>
    <w:rsid w:val="36AB0043"/>
    <w:rsid w:val="36AF6C5F"/>
    <w:rsid w:val="36C951DB"/>
    <w:rsid w:val="36CB38D2"/>
    <w:rsid w:val="36D62056"/>
    <w:rsid w:val="36F17277"/>
    <w:rsid w:val="370C6D0A"/>
    <w:rsid w:val="370F24D7"/>
    <w:rsid w:val="37132A7A"/>
    <w:rsid w:val="373143AF"/>
    <w:rsid w:val="373E0D23"/>
    <w:rsid w:val="374E4171"/>
    <w:rsid w:val="377D459F"/>
    <w:rsid w:val="37910C8C"/>
    <w:rsid w:val="379705EC"/>
    <w:rsid w:val="379D78BD"/>
    <w:rsid w:val="37BC1633"/>
    <w:rsid w:val="37C206C5"/>
    <w:rsid w:val="37E607CD"/>
    <w:rsid w:val="37FC7E69"/>
    <w:rsid w:val="37FF5D6B"/>
    <w:rsid w:val="38092FA0"/>
    <w:rsid w:val="380D1D66"/>
    <w:rsid w:val="3819390B"/>
    <w:rsid w:val="383C6756"/>
    <w:rsid w:val="3842422E"/>
    <w:rsid w:val="3848767A"/>
    <w:rsid w:val="384B27D0"/>
    <w:rsid w:val="38517DC8"/>
    <w:rsid w:val="385B7274"/>
    <w:rsid w:val="386D28D3"/>
    <w:rsid w:val="38867F0A"/>
    <w:rsid w:val="389D6B9F"/>
    <w:rsid w:val="38AF1198"/>
    <w:rsid w:val="38D66725"/>
    <w:rsid w:val="38EF5A38"/>
    <w:rsid w:val="38F977C0"/>
    <w:rsid w:val="38FE7A29"/>
    <w:rsid w:val="39171E83"/>
    <w:rsid w:val="392D7177"/>
    <w:rsid w:val="396D6ECE"/>
    <w:rsid w:val="396F618B"/>
    <w:rsid w:val="397367FA"/>
    <w:rsid w:val="398F4730"/>
    <w:rsid w:val="39A01CB8"/>
    <w:rsid w:val="39AC1EC0"/>
    <w:rsid w:val="39B80064"/>
    <w:rsid w:val="39C676E2"/>
    <w:rsid w:val="39EA100F"/>
    <w:rsid w:val="3A2C5105"/>
    <w:rsid w:val="3A303EE3"/>
    <w:rsid w:val="3A5441B0"/>
    <w:rsid w:val="3A634D1A"/>
    <w:rsid w:val="3A773B8B"/>
    <w:rsid w:val="3A7D757E"/>
    <w:rsid w:val="3A7D77A0"/>
    <w:rsid w:val="3A7F29F2"/>
    <w:rsid w:val="3A850402"/>
    <w:rsid w:val="3A8723CC"/>
    <w:rsid w:val="3A9B1D38"/>
    <w:rsid w:val="3A9C26E1"/>
    <w:rsid w:val="3A9D3DFB"/>
    <w:rsid w:val="3AA074CB"/>
    <w:rsid w:val="3AA563BA"/>
    <w:rsid w:val="3ADD0912"/>
    <w:rsid w:val="3AFD09B2"/>
    <w:rsid w:val="3B2252B9"/>
    <w:rsid w:val="3B2B215A"/>
    <w:rsid w:val="3B3B3D8E"/>
    <w:rsid w:val="3B422BB7"/>
    <w:rsid w:val="3B4414E3"/>
    <w:rsid w:val="3B4F0A10"/>
    <w:rsid w:val="3B4F1833"/>
    <w:rsid w:val="3B5836A1"/>
    <w:rsid w:val="3B750477"/>
    <w:rsid w:val="3B78769F"/>
    <w:rsid w:val="3B8735D6"/>
    <w:rsid w:val="3B903C0F"/>
    <w:rsid w:val="3BB51987"/>
    <w:rsid w:val="3BD65E8C"/>
    <w:rsid w:val="3BE634AF"/>
    <w:rsid w:val="3BFE35C1"/>
    <w:rsid w:val="3C0141C0"/>
    <w:rsid w:val="3C1B5A86"/>
    <w:rsid w:val="3C2A30EC"/>
    <w:rsid w:val="3C3456A6"/>
    <w:rsid w:val="3C4D2833"/>
    <w:rsid w:val="3C562EF0"/>
    <w:rsid w:val="3C580F0B"/>
    <w:rsid w:val="3C5B10DC"/>
    <w:rsid w:val="3C624382"/>
    <w:rsid w:val="3C7A698D"/>
    <w:rsid w:val="3C8D69A3"/>
    <w:rsid w:val="3C9A2914"/>
    <w:rsid w:val="3CA64660"/>
    <w:rsid w:val="3CAA350F"/>
    <w:rsid w:val="3CAC01BF"/>
    <w:rsid w:val="3CAC46AE"/>
    <w:rsid w:val="3CB0284D"/>
    <w:rsid w:val="3CBF17B3"/>
    <w:rsid w:val="3CC44087"/>
    <w:rsid w:val="3CC534C9"/>
    <w:rsid w:val="3CD30909"/>
    <w:rsid w:val="3CD43265"/>
    <w:rsid w:val="3CE47669"/>
    <w:rsid w:val="3CE726D2"/>
    <w:rsid w:val="3CF23422"/>
    <w:rsid w:val="3CF63F4A"/>
    <w:rsid w:val="3CFA5689"/>
    <w:rsid w:val="3D1F0D85"/>
    <w:rsid w:val="3D391CA6"/>
    <w:rsid w:val="3D396054"/>
    <w:rsid w:val="3D575605"/>
    <w:rsid w:val="3D606B92"/>
    <w:rsid w:val="3D9048F3"/>
    <w:rsid w:val="3D927E01"/>
    <w:rsid w:val="3DB71D20"/>
    <w:rsid w:val="3DC27AF5"/>
    <w:rsid w:val="3DCF0187"/>
    <w:rsid w:val="3DDA2B9E"/>
    <w:rsid w:val="3DDB1B45"/>
    <w:rsid w:val="3DEB601A"/>
    <w:rsid w:val="3E0706ED"/>
    <w:rsid w:val="3E1026D9"/>
    <w:rsid w:val="3E1201FF"/>
    <w:rsid w:val="3E2E381B"/>
    <w:rsid w:val="3E402963"/>
    <w:rsid w:val="3E4D1237"/>
    <w:rsid w:val="3E793E8E"/>
    <w:rsid w:val="3E7A0A1F"/>
    <w:rsid w:val="3E7A5E1B"/>
    <w:rsid w:val="3E815E14"/>
    <w:rsid w:val="3E88321F"/>
    <w:rsid w:val="3EA846BF"/>
    <w:rsid w:val="3EAE1B92"/>
    <w:rsid w:val="3EC527A6"/>
    <w:rsid w:val="3ED257A9"/>
    <w:rsid w:val="3ED838FA"/>
    <w:rsid w:val="3EEC3FFB"/>
    <w:rsid w:val="3EEC41B4"/>
    <w:rsid w:val="3EF06066"/>
    <w:rsid w:val="3EF2512B"/>
    <w:rsid w:val="3EF516BB"/>
    <w:rsid w:val="3F1C1FB9"/>
    <w:rsid w:val="3F256515"/>
    <w:rsid w:val="3F2A3A9E"/>
    <w:rsid w:val="3F2B709E"/>
    <w:rsid w:val="3F48265F"/>
    <w:rsid w:val="3F487D9E"/>
    <w:rsid w:val="3F505695"/>
    <w:rsid w:val="3F523AEA"/>
    <w:rsid w:val="3F645C24"/>
    <w:rsid w:val="3F7E491A"/>
    <w:rsid w:val="3F8575A6"/>
    <w:rsid w:val="3F9D61EE"/>
    <w:rsid w:val="3FA44006"/>
    <w:rsid w:val="3FBA0B4E"/>
    <w:rsid w:val="3FD03FBB"/>
    <w:rsid w:val="3FFD10FF"/>
    <w:rsid w:val="40094242"/>
    <w:rsid w:val="400D0508"/>
    <w:rsid w:val="402942F9"/>
    <w:rsid w:val="40295CD4"/>
    <w:rsid w:val="403730FB"/>
    <w:rsid w:val="40375872"/>
    <w:rsid w:val="40380B1B"/>
    <w:rsid w:val="404D58CD"/>
    <w:rsid w:val="4063521B"/>
    <w:rsid w:val="40656776"/>
    <w:rsid w:val="406E7199"/>
    <w:rsid w:val="407E48E6"/>
    <w:rsid w:val="40844CB8"/>
    <w:rsid w:val="409A44DC"/>
    <w:rsid w:val="409E0B83"/>
    <w:rsid w:val="40B63556"/>
    <w:rsid w:val="40D03498"/>
    <w:rsid w:val="40D42B8D"/>
    <w:rsid w:val="40E62FD0"/>
    <w:rsid w:val="40EB2831"/>
    <w:rsid w:val="40FE7535"/>
    <w:rsid w:val="4117451F"/>
    <w:rsid w:val="411B6A94"/>
    <w:rsid w:val="41286A0D"/>
    <w:rsid w:val="41614901"/>
    <w:rsid w:val="41617BA9"/>
    <w:rsid w:val="417226CB"/>
    <w:rsid w:val="417739B4"/>
    <w:rsid w:val="417A4140"/>
    <w:rsid w:val="41920AB0"/>
    <w:rsid w:val="41B84049"/>
    <w:rsid w:val="41C356DE"/>
    <w:rsid w:val="41D63C39"/>
    <w:rsid w:val="41DF7149"/>
    <w:rsid w:val="41F978EB"/>
    <w:rsid w:val="421756B6"/>
    <w:rsid w:val="421B4715"/>
    <w:rsid w:val="421D58E6"/>
    <w:rsid w:val="425700FB"/>
    <w:rsid w:val="426C36E5"/>
    <w:rsid w:val="42705633"/>
    <w:rsid w:val="427B1BE9"/>
    <w:rsid w:val="42885A7C"/>
    <w:rsid w:val="428A638D"/>
    <w:rsid w:val="429F0BF4"/>
    <w:rsid w:val="42AC710C"/>
    <w:rsid w:val="42AE1F94"/>
    <w:rsid w:val="42C121F4"/>
    <w:rsid w:val="42F01E41"/>
    <w:rsid w:val="42F51FEF"/>
    <w:rsid w:val="431542ED"/>
    <w:rsid w:val="43284021"/>
    <w:rsid w:val="432C6EB6"/>
    <w:rsid w:val="43692555"/>
    <w:rsid w:val="43734BBF"/>
    <w:rsid w:val="43811A9E"/>
    <w:rsid w:val="43974129"/>
    <w:rsid w:val="43AE3904"/>
    <w:rsid w:val="43B13C1E"/>
    <w:rsid w:val="43E74142"/>
    <w:rsid w:val="43EA492C"/>
    <w:rsid w:val="43F7309A"/>
    <w:rsid w:val="43FE6ED5"/>
    <w:rsid w:val="44294DB8"/>
    <w:rsid w:val="443351EA"/>
    <w:rsid w:val="44433CBC"/>
    <w:rsid w:val="44526BE4"/>
    <w:rsid w:val="44703ED1"/>
    <w:rsid w:val="447D07A1"/>
    <w:rsid w:val="448B1410"/>
    <w:rsid w:val="448B69A4"/>
    <w:rsid w:val="4490041E"/>
    <w:rsid w:val="449C6166"/>
    <w:rsid w:val="44A659E7"/>
    <w:rsid w:val="44BA6EFA"/>
    <w:rsid w:val="44CB5CDD"/>
    <w:rsid w:val="44F03307"/>
    <w:rsid w:val="4504286C"/>
    <w:rsid w:val="450E16FC"/>
    <w:rsid w:val="451835FD"/>
    <w:rsid w:val="45467CA7"/>
    <w:rsid w:val="454964D0"/>
    <w:rsid w:val="45813EBC"/>
    <w:rsid w:val="458E2F8D"/>
    <w:rsid w:val="45B26B3D"/>
    <w:rsid w:val="45DF4C74"/>
    <w:rsid w:val="45E9418F"/>
    <w:rsid w:val="45EF2B70"/>
    <w:rsid w:val="45F64D0C"/>
    <w:rsid w:val="460636E9"/>
    <w:rsid w:val="4609426D"/>
    <w:rsid w:val="462C5BD6"/>
    <w:rsid w:val="462D1E20"/>
    <w:rsid w:val="463C6AD1"/>
    <w:rsid w:val="464B61FF"/>
    <w:rsid w:val="466934A5"/>
    <w:rsid w:val="46735014"/>
    <w:rsid w:val="467852BF"/>
    <w:rsid w:val="467E3656"/>
    <w:rsid w:val="468F7875"/>
    <w:rsid w:val="46982A38"/>
    <w:rsid w:val="46990156"/>
    <w:rsid w:val="46B63584"/>
    <w:rsid w:val="46D032AB"/>
    <w:rsid w:val="46DD2E24"/>
    <w:rsid w:val="46DD49A8"/>
    <w:rsid w:val="47042C2E"/>
    <w:rsid w:val="470C24ED"/>
    <w:rsid w:val="471634B8"/>
    <w:rsid w:val="471E1F4B"/>
    <w:rsid w:val="471E3BA6"/>
    <w:rsid w:val="47236196"/>
    <w:rsid w:val="47271FF9"/>
    <w:rsid w:val="473C0DB1"/>
    <w:rsid w:val="475067AF"/>
    <w:rsid w:val="47811F51"/>
    <w:rsid w:val="47835CCA"/>
    <w:rsid w:val="47967D63"/>
    <w:rsid w:val="47A45E10"/>
    <w:rsid w:val="47AC77AA"/>
    <w:rsid w:val="47AD49F9"/>
    <w:rsid w:val="47BE20A2"/>
    <w:rsid w:val="481977EE"/>
    <w:rsid w:val="48211BE8"/>
    <w:rsid w:val="48230D9F"/>
    <w:rsid w:val="484C7F31"/>
    <w:rsid w:val="48503C01"/>
    <w:rsid w:val="48574CC3"/>
    <w:rsid w:val="486B6508"/>
    <w:rsid w:val="488C23AD"/>
    <w:rsid w:val="48917628"/>
    <w:rsid w:val="489309F5"/>
    <w:rsid w:val="48965252"/>
    <w:rsid w:val="48A071F4"/>
    <w:rsid w:val="48B64425"/>
    <w:rsid w:val="48BA45D6"/>
    <w:rsid w:val="48C84BE1"/>
    <w:rsid w:val="48CB7400"/>
    <w:rsid w:val="48D5697C"/>
    <w:rsid w:val="48F040EC"/>
    <w:rsid w:val="48F05F07"/>
    <w:rsid w:val="48FB668C"/>
    <w:rsid w:val="48FD7CFE"/>
    <w:rsid w:val="491028D4"/>
    <w:rsid w:val="49183E8E"/>
    <w:rsid w:val="49251492"/>
    <w:rsid w:val="497632BD"/>
    <w:rsid w:val="498E4353"/>
    <w:rsid w:val="4994710E"/>
    <w:rsid w:val="499F68BD"/>
    <w:rsid w:val="49A81032"/>
    <w:rsid w:val="49AA0640"/>
    <w:rsid w:val="49B154D3"/>
    <w:rsid w:val="49B613F8"/>
    <w:rsid w:val="49F27137"/>
    <w:rsid w:val="49FE33BC"/>
    <w:rsid w:val="4A0920B7"/>
    <w:rsid w:val="4A454C9E"/>
    <w:rsid w:val="4A465DD9"/>
    <w:rsid w:val="4A481DE0"/>
    <w:rsid w:val="4A4E5C25"/>
    <w:rsid w:val="4A773AA7"/>
    <w:rsid w:val="4A954A18"/>
    <w:rsid w:val="4AA22C65"/>
    <w:rsid w:val="4AB56AE2"/>
    <w:rsid w:val="4AB83EDC"/>
    <w:rsid w:val="4ACF5A9C"/>
    <w:rsid w:val="4ACF5FBE"/>
    <w:rsid w:val="4AE83A0B"/>
    <w:rsid w:val="4AF73C15"/>
    <w:rsid w:val="4B064B2C"/>
    <w:rsid w:val="4B10647C"/>
    <w:rsid w:val="4B17792F"/>
    <w:rsid w:val="4B1C724E"/>
    <w:rsid w:val="4B2902F3"/>
    <w:rsid w:val="4B2D64F3"/>
    <w:rsid w:val="4B304C97"/>
    <w:rsid w:val="4B3A2E1A"/>
    <w:rsid w:val="4B754F71"/>
    <w:rsid w:val="4B7F68BD"/>
    <w:rsid w:val="4B8B3FFC"/>
    <w:rsid w:val="4B8D5369"/>
    <w:rsid w:val="4B951FD8"/>
    <w:rsid w:val="4B9731EA"/>
    <w:rsid w:val="4BA54F90"/>
    <w:rsid w:val="4BA73CDD"/>
    <w:rsid w:val="4BB16BB1"/>
    <w:rsid w:val="4BC62629"/>
    <w:rsid w:val="4BC82845"/>
    <w:rsid w:val="4BE85078"/>
    <w:rsid w:val="4C0C27EF"/>
    <w:rsid w:val="4C1035C7"/>
    <w:rsid w:val="4C226A90"/>
    <w:rsid w:val="4C3D752B"/>
    <w:rsid w:val="4C43426F"/>
    <w:rsid w:val="4C462C03"/>
    <w:rsid w:val="4C4A14AC"/>
    <w:rsid w:val="4C6428C2"/>
    <w:rsid w:val="4C6B6169"/>
    <w:rsid w:val="4C87000A"/>
    <w:rsid w:val="4C8D7406"/>
    <w:rsid w:val="4C9F6C41"/>
    <w:rsid w:val="4CAE1EE7"/>
    <w:rsid w:val="4CB122A9"/>
    <w:rsid w:val="4CBA7282"/>
    <w:rsid w:val="4CBE3B22"/>
    <w:rsid w:val="4CCF11E6"/>
    <w:rsid w:val="4CEB587F"/>
    <w:rsid w:val="4D0A0B12"/>
    <w:rsid w:val="4D1B69A4"/>
    <w:rsid w:val="4D1C45A1"/>
    <w:rsid w:val="4D200775"/>
    <w:rsid w:val="4D225F85"/>
    <w:rsid w:val="4D290FF5"/>
    <w:rsid w:val="4D3F2693"/>
    <w:rsid w:val="4D480BDC"/>
    <w:rsid w:val="4D6B792C"/>
    <w:rsid w:val="4D91063B"/>
    <w:rsid w:val="4DC01BCF"/>
    <w:rsid w:val="4DD50095"/>
    <w:rsid w:val="4DF32AF5"/>
    <w:rsid w:val="4DFC09DF"/>
    <w:rsid w:val="4E022182"/>
    <w:rsid w:val="4E17648E"/>
    <w:rsid w:val="4E6029DC"/>
    <w:rsid w:val="4E65437B"/>
    <w:rsid w:val="4E6D5FC6"/>
    <w:rsid w:val="4E955E66"/>
    <w:rsid w:val="4E9C1234"/>
    <w:rsid w:val="4EBD2CC0"/>
    <w:rsid w:val="4EC05747"/>
    <w:rsid w:val="4ECD6E07"/>
    <w:rsid w:val="4EDD0C7F"/>
    <w:rsid w:val="4EF00428"/>
    <w:rsid w:val="4EF157D5"/>
    <w:rsid w:val="4F127626"/>
    <w:rsid w:val="4F143C36"/>
    <w:rsid w:val="4F1C30F3"/>
    <w:rsid w:val="4F232A6D"/>
    <w:rsid w:val="4F4F3C30"/>
    <w:rsid w:val="4F610FE6"/>
    <w:rsid w:val="4F7F480E"/>
    <w:rsid w:val="4F813436"/>
    <w:rsid w:val="4F9F6E62"/>
    <w:rsid w:val="4FB53D84"/>
    <w:rsid w:val="4FC078A0"/>
    <w:rsid w:val="4FC754FA"/>
    <w:rsid w:val="4FD25485"/>
    <w:rsid w:val="4FD745EB"/>
    <w:rsid w:val="4FF54B6D"/>
    <w:rsid w:val="501052BE"/>
    <w:rsid w:val="50236081"/>
    <w:rsid w:val="502B165A"/>
    <w:rsid w:val="502C162D"/>
    <w:rsid w:val="502D757B"/>
    <w:rsid w:val="505271B9"/>
    <w:rsid w:val="50582C9B"/>
    <w:rsid w:val="50691844"/>
    <w:rsid w:val="50700DB5"/>
    <w:rsid w:val="507734C1"/>
    <w:rsid w:val="50790D0C"/>
    <w:rsid w:val="507C59AC"/>
    <w:rsid w:val="50827858"/>
    <w:rsid w:val="50992C99"/>
    <w:rsid w:val="50AC7560"/>
    <w:rsid w:val="50B9275C"/>
    <w:rsid w:val="50BE299E"/>
    <w:rsid w:val="50CC0ECB"/>
    <w:rsid w:val="50E04B59"/>
    <w:rsid w:val="50F477AF"/>
    <w:rsid w:val="51063452"/>
    <w:rsid w:val="511032B2"/>
    <w:rsid w:val="51271DBC"/>
    <w:rsid w:val="51337EE4"/>
    <w:rsid w:val="516E3547"/>
    <w:rsid w:val="518C13FF"/>
    <w:rsid w:val="518F360B"/>
    <w:rsid w:val="51AD1A2B"/>
    <w:rsid w:val="51B23FFD"/>
    <w:rsid w:val="51B66656"/>
    <w:rsid w:val="51D7550F"/>
    <w:rsid w:val="51E30E0D"/>
    <w:rsid w:val="51EF6EDC"/>
    <w:rsid w:val="51FA00BF"/>
    <w:rsid w:val="520605DB"/>
    <w:rsid w:val="523138D6"/>
    <w:rsid w:val="52376E33"/>
    <w:rsid w:val="52385BC0"/>
    <w:rsid w:val="524B4B59"/>
    <w:rsid w:val="52606BFF"/>
    <w:rsid w:val="52747A46"/>
    <w:rsid w:val="527B2E68"/>
    <w:rsid w:val="5285323E"/>
    <w:rsid w:val="528B0128"/>
    <w:rsid w:val="52975115"/>
    <w:rsid w:val="529A450A"/>
    <w:rsid w:val="529E039B"/>
    <w:rsid w:val="52A17F2E"/>
    <w:rsid w:val="52A2203C"/>
    <w:rsid w:val="52B85551"/>
    <w:rsid w:val="52CA0C50"/>
    <w:rsid w:val="52DF6735"/>
    <w:rsid w:val="52FB6734"/>
    <w:rsid w:val="53144EFF"/>
    <w:rsid w:val="5315111D"/>
    <w:rsid w:val="531616D8"/>
    <w:rsid w:val="53225F35"/>
    <w:rsid w:val="532D482B"/>
    <w:rsid w:val="532F75E5"/>
    <w:rsid w:val="53420F93"/>
    <w:rsid w:val="535C78EA"/>
    <w:rsid w:val="53642E53"/>
    <w:rsid w:val="536524C3"/>
    <w:rsid w:val="53654007"/>
    <w:rsid w:val="53771DA6"/>
    <w:rsid w:val="537D2167"/>
    <w:rsid w:val="537F7F39"/>
    <w:rsid w:val="5398506B"/>
    <w:rsid w:val="53B03A92"/>
    <w:rsid w:val="53BD6716"/>
    <w:rsid w:val="53C90B0D"/>
    <w:rsid w:val="53DB785D"/>
    <w:rsid w:val="53E53868"/>
    <w:rsid w:val="53E73B73"/>
    <w:rsid w:val="53EC49D2"/>
    <w:rsid w:val="53EE26BA"/>
    <w:rsid w:val="53FF492A"/>
    <w:rsid w:val="540463E4"/>
    <w:rsid w:val="54153EF4"/>
    <w:rsid w:val="5445799A"/>
    <w:rsid w:val="5449030C"/>
    <w:rsid w:val="545C0C7F"/>
    <w:rsid w:val="54636575"/>
    <w:rsid w:val="54636A83"/>
    <w:rsid w:val="54641D88"/>
    <w:rsid w:val="546A338F"/>
    <w:rsid w:val="546A68CE"/>
    <w:rsid w:val="547220B0"/>
    <w:rsid w:val="547A60F6"/>
    <w:rsid w:val="54930AB1"/>
    <w:rsid w:val="549C3059"/>
    <w:rsid w:val="54B43966"/>
    <w:rsid w:val="54BA3548"/>
    <w:rsid w:val="54BD681C"/>
    <w:rsid w:val="54CF7CF7"/>
    <w:rsid w:val="54D14E74"/>
    <w:rsid w:val="54D47718"/>
    <w:rsid w:val="54E3117F"/>
    <w:rsid w:val="54E51352"/>
    <w:rsid w:val="54EE076B"/>
    <w:rsid w:val="54F0598E"/>
    <w:rsid w:val="54FC355F"/>
    <w:rsid w:val="5509452A"/>
    <w:rsid w:val="550B2D99"/>
    <w:rsid w:val="550C11D0"/>
    <w:rsid w:val="55132319"/>
    <w:rsid w:val="551C3C0C"/>
    <w:rsid w:val="551D6B48"/>
    <w:rsid w:val="5547688B"/>
    <w:rsid w:val="55594FEB"/>
    <w:rsid w:val="558710D8"/>
    <w:rsid w:val="558B4C9F"/>
    <w:rsid w:val="55A058CC"/>
    <w:rsid w:val="55A6192E"/>
    <w:rsid w:val="55AA1BF9"/>
    <w:rsid w:val="55C966DB"/>
    <w:rsid w:val="56073F6A"/>
    <w:rsid w:val="56260519"/>
    <w:rsid w:val="564F43B1"/>
    <w:rsid w:val="566937D8"/>
    <w:rsid w:val="566D2C63"/>
    <w:rsid w:val="567E03C9"/>
    <w:rsid w:val="568832FC"/>
    <w:rsid w:val="56930611"/>
    <w:rsid w:val="56A57272"/>
    <w:rsid w:val="56BF04E5"/>
    <w:rsid w:val="56BF311E"/>
    <w:rsid w:val="56CB288A"/>
    <w:rsid w:val="56E30903"/>
    <w:rsid w:val="56EB73E7"/>
    <w:rsid w:val="57003E35"/>
    <w:rsid w:val="571A1A7B"/>
    <w:rsid w:val="572C5F7E"/>
    <w:rsid w:val="574370F4"/>
    <w:rsid w:val="577A72B9"/>
    <w:rsid w:val="57804177"/>
    <w:rsid w:val="57B46D68"/>
    <w:rsid w:val="57DD3508"/>
    <w:rsid w:val="57E24B86"/>
    <w:rsid w:val="57EB16B7"/>
    <w:rsid w:val="5803075E"/>
    <w:rsid w:val="580C7B2D"/>
    <w:rsid w:val="581F4B46"/>
    <w:rsid w:val="583B1555"/>
    <w:rsid w:val="58405511"/>
    <w:rsid w:val="585B0D44"/>
    <w:rsid w:val="586A2335"/>
    <w:rsid w:val="58741097"/>
    <w:rsid w:val="587B429A"/>
    <w:rsid w:val="58857DF2"/>
    <w:rsid w:val="5892683D"/>
    <w:rsid w:val="58A46B3B"/>
    <w:rsid w:val="58D653D6"/>
    <w:rsid w:val="58DA5965"/>
    <w:rsid w:val="58E27481"/>
    <w:rsid w:val="58EB7F81"/>
    <w:rsid w:val="58FA202C"/>
    <w:rsid w:val="58FA7DB6"/>
    <w:rsid w:val="590A3354"/>
    <w:rsid w:val="591507F6"/>
    <w:rsid w:val="59217945"/>
    <w:rsid w:val="59232A4A"/>
    <w:rsid w:val="59233CF4"/>
    <w:rsid w:val="59260BAB"/>
    <w:rsid w:val="5928031A"/>
    <w:rsid w:val="592F27C8"/>
    <w:rsid w:val="597D3EA4"/>
    <w:rsid w:val="59820A47"/>
    <w:rsid w:val="598F2D1F"/>
    <w:rsid w:val="59A32A50"/>
    <w:rsid w:val="59A645B8"/>
    <w:rsid w:val="59B50B36"/>
    <w:rsid w:val="59B55B4C"/>
    <w:rsid w:val="59BC6B2F"/>
    <w:rsid w:val="59C45068"/>
    <w:rsid w:val="59DE3BB5"/>
    <w:rsid w:val="59DE5AFB"/>
    <w:rsid w:val="59EE4E12"/>
    <w:rsid w:val="5A245730"/>
    <w:rsid w:val="5A2F1CE1"/>
    <w:rsid w:val="5A5E4F05"/>
    <w:rsid w:val="5A69269D"/>
    <w:rsid w:val="5A6D48CE"/>
    <w:rsid w:val="5A755946"/>
    <w:rsid w:val="5A7B57D0"/>
    <w:rsid w:val="5A7B5E34"/>
    <w:rsid w:val="5A886C3A"/>
    <w:rsid w:val="5AA30C7C"/>
    <w:rsid w:val="5AA47AF1"/>
    <w:rsid w:val="5ABB5945"/>
    <w:rsid w:val="5AE3176B"/>
    <w:rsid w:val="5AE613A6"/>
    <w:rsid w:val="5B003B07"/>
    <w:rsid w:val="5B2B5D7E"/>
    <w:rsid w:val="5B481DD0"/>
    <w:rsid w:val="5B551FAD"/>
    <w:rsid w:val="5B684F91"/>
    <w:rsid w:val="5B7360F8"/>
    <w:rsid w:val="5B840A80"/>
    <w:rsid w:val="5B871B15"/>
    <w:rsid w:val="5B914A01"/>
    <w:rsid w:val="5B97302A"/>
    <w:rsid w:val="5B9C33A6"/>
    <w:rsid w:val="5BA14B0E"/>
    <w:rsid w:val="5BA31954"/>
    <w:rsid w:val="5BB852E7"/>
    <w:rsid w:val="5BD16782"/>
    <w:rsid w:val="5BD44423"/>
    <w:rsid w:val="5BE34169"/>
    <w:rsid w:val="5BF43759"/>
    <w:rsid w:val="5BF539A5"/>
    <w:rsid w:val="5BFB45B0"/>
    <w:rsid w:val="5BFE62E6"/>
    <w:rsid w:val="5C3166BC"/>
    <w:rsid w:val="5C32660C"/>
    <w:rsid w:val="5C5A26AD"/>
    <w:rsid w:val="5C6D651E"/>
    <w:rsid w:val="5C70131A"/>
    <w:rsid w:val="5C7D2094"/>
    <w:rsid w:val="5C9257E8"/>
    <w:rsid w:val="5CA66FC3"/>
    <w:rsid w:val="5CD3143C"/>
    <w:rsid w:val="5CD73E0E"/>
    <w:rsid w:val="5CE17B72"/>
    <w:rsid w:val="5CE45745"/>
    <w:rsid w:val="5CE768A3"/>
    <w:rsid w:val="5D0F4A57"/>
    <w:rsid w:val="5D290C69"/>
    <w:rsid w:val="5D7C4CBD"/>
    <w:rsid w:val="5D846D6D"/>
    <w:rsid w:val="5D925131"/>
    <w:rsid w:val="5DA84284"/>
    <w:rsid w:val="5DAA481D"/>
    <w:rsid w:val="5DB65CC6"/>
    <w:rsid w:val="5DBA176A"/>
    <w:rsid w:val="5DCD0755"/>
    <w:rsid w:val="5DD55F2C"/>
    <w:rsid w:val="5DD711EB"/>
    <w:rsid w:val="5DEE7C20"/>
    <w:rsid w:val="5DFE3EA4"/>
    <w:rsid w:val="5E0F21DB"/>
    <w:rsid w:val="5E121FEC"/>
    <w:rsid w:val="5E2A2EEB"/>
    <w:rsid w:val="5E4259E7"/>
    <w:rsid w:val="5E581806"/>
    <w:rsid w:val="5EA9723A"/>
    <w:rsid w:val="5EC21376"/>
    <w:rsid w:val="5EC34F80"/>
    <w:rsid w:val="5EC75675"/>
    <w:rsid w:val="5ED800BA"/>
    <w:rsid w:val="5EE4309A"/>
    <w:rsid w:val="5EF31D5B"/>
    <w:rsid w:val="5EF36D0D"/>
    <w:rsid w:val="5EF70C0A"/>
    <w:rsid w:val="5EFB01EC"/>
    <w:rsid w:val="5EFB0EFD"/>
    <w:rsid w:val="5EFF54D1"/>
    <w:rsid w:val="5F0536D1"/>
    <w:rsid w:val="5F246327"/>
    <w:rsid w:val="5F381638"/>
    <w:rsid w:val="5F736391"/>
    <w:rsid w:val="5F7A5E8E"/>
    <w:rsid w:val="5F984D27"/>
    <w:rsid w:val="5FA833FC"/>
    <w:rsid w:val="5FAE4A45"/>
    <w:rsid w:val="5FC058B5"/>
    <w:rsid w:val="5FC410F0"/>
    <w:rsid w:val="5FD0361E"/>
    <w:rsid w:val="5FDE3A6D"/>
    <w:rsid w:val="5FDE6E4A"/>
    <w:rsid w:val="5FE71350"/>
    <w:rsid w:val="602800FC"/>
    <w:rsid w:val="60346069"/>
    <w:rsid w:val="604A429F"/>
    <w:rsid w:val="60513195"/>
    <w:rsid w:val="606B7F37"/>
    <w:rsid w:val="60723A93"/>
    <w:rsid w:val="60787F3E"/>
    <w:rsid w:val="607B5C80"/>
    <w:rsid w:val="60A35499"/>
    <w:rsid w:val="60A64C89"/>
    <w:rsid w:val="60C302B8"/>
    <w:rsid w:val="60C45803"/>
    <w:rsid w:val="60D72C53"/>
    <w:rsid w:val="60DA38F3"/>
    <w:rsid w:val="60F17664"/>
    <w:rsid w:val="60F43F81"/>
    <w:rsid w:val="60F91D4B"/>
    <w:rsid w:val="610D0ABC"/>
    <w:rsid w:val="61130CA7"/>
    <w:rsid w:val="611D5BA5"/>
    <w:rsid w:val="61316A01"/>
    <w:rsid w:val="61445B9D"/>
    <w:rsid w:val="61446072"/>
    <w:rsid w:val="615139B3"/>
    <w:rsid w:val="615B0273"/>
    <w:rsid w:val="615B31D1"/>
    <w:rsid w:val="61675DA0"/>
    <w:rsid w:val="616E5045"/>
    <w:rsid w:val="617A09B2"/>
    <w:rsid w:val="6189682F"/>
    <w:rsid w:val="61AB4F2F"/>
    <w:rsid w:val="61BA6082"/>
    <w:rsid w:val="61D54F1C"/>
    <w:rsid w:val="61FA37B2"/>
    <w:rsid w:val="61FE0917"/>
    <w:rsid w:val="621C3CB0"/>
    <w:rsid w:val="622261EE"/>
    <w:rsid w:val="622D42B1"/>
    <w:rsid w:val="62322125"/>
    <w:rsid w:val="623500CA"/>
    <w:rsid w:val="62526460"/>
    <w:rsid w:val="62547D49"/>
    <w:rsid w:val="62562E2D"/>
    <w:rsid w:val="6256605D"/>
    <w:rsid w:val="626777B6"/>
    <w:rsid w:val="62690473"/>
    <w:rsid w:val="626B37B4"/>
    <w:rsid w:val="628155A7"/>
    <w:rsid w:val="628E2F58"/>
    <w:rsid w:val="62960B4F"/>
    <w:rsid w:val="629E548D"/>
    <w:rsid w:val="62A01196"/>
    <w:rsid w:val="62A42602"/>
    <w:rsid w:val="62C56BFE"/>
    <w:rsid w:val="62EF200D"/>
    <w:rsid w:val="62EF64B1"/>
    <w:rsid w:val="62F3079A"/>
    <w:rsid w:val="62F835B8"/>
    <w:rsid w:val="630258EF"/>
    <w:rsid w:val="63082158"/>
    <w:rsid w:val="630E3005"/>
    <w:rsid w:val="63111188"/>
    <w:rsid w:val="63160493"/>
    <w:rsid w:val="63264916"/>
    <w:rsid w:val="632B5F9C"/>
    <w:rsid w:val="632C1115"/>
    <w:rsid w:val="635857D9"/>
    <w:rsid w:val="63687417"/>
    <w:rsid w:val="63752119"/>
    <w:rsid w:val="63802BBC"/>
    <w:rsid w:val="63961342"/>
    <w:rsid w:val="63D24644"/>
    <w:rsid w:val="63FC0E86"/>
    <w:rsid w:val="64025D23"/>
    <w:rsid w:val="640F5D78"/>
    <w:rsid w:val="642B3519"/>
    <w:rsid w:val="642F4DB7"/>
    <w:rsid w:val="643979E4"/>
    <w:rsid w:val="6449399F"/>
    <w:rsid w:val="64696373"/>
    <w:rsid w:val="64801624"/>
    <w:rsid w:val="64852B5A"/>
    <w:rsid w:val="649837A8"/>
    <w:rsid w:val="64B17476"/>
    <w:rsid w:val="64B56187"/>
    <w:rsid w:val="64B743AB"/>
    <w:rsid w:val="64C90A2A"/>
    <w:rsid w:val="64D44664"/>
    <w:rsid w:val="64E74EC8"/>
    <w:rsid w:val="64FD0B26"/>
    <w:rsid w:val="65006CC3"/>
    <w:rsid w:val="650B3114"/>
    <w:rsid w:val="65101BA2"/>
    <w:rsid w:val="651827C5"/>
    <w:rsid w:val="65240CE6"/>
    <w:rsid w:val="6530528B"/>
    <w:rsid w:val="65511A84"/>
    <w:rsid w:val="656B7698"/>
    <w:rsid w:val="65834B46"/>
    <w:rsid w:val="658F48F3"/>
    <w:rsid w:val="658F4B31"/>
    <w:rsid w:val="65981B4B"/>
    <w:rsid w:val="65A752F2"/>
    <w:rsid w:val="65C32EF8"/>
    <w:rsid w:val="65DA3FB5"/>
    <w:rsid w:val="65FB5C98"/>
    <w:rsid w:val="65FD3649"/>
    <w:rsid w:val="65FF7677"/>
    <w:rsid w:val="660B07CE"/>
    <w:rsid w:val="6613140F"/>
    <w:rsid w:val="661C6EBD"/>
    <w:rsid w:val="66204D8A"/>
    <w:rsid w:val="662A1C2E"/>
    <w:rsid w:val="66455EAA"/>
    <w:rsid w:val="6661382B"/>
    <w:rsid w:val="6671431F"/>
    <w:rsid w:val="667E64A3"/>
    <w:rsid w:val="66A7157D"/>
    <w:rsid w:val="66AD3453"/>
    <w:rsid w:val="66BB26A0"/>
    <w:rsid w:val="66CC5472"/>
    <w:rsid w:val="66E33C5B"/>
    <w:rsid w:val="66E81A8D"/>
    <w:rsid w:val="670C5884"/>
    <w:rsid w:val="67154518"/>
    <w:rsid w:val="671E6060"/>
    <w:rsid w:val="672E176E"/>
    <w:rsid w:val="673745F9"/>
    <w:rsid w:val="674A15DC"/>
    <w:rsid w:val="67513297"/>
    <w:rsid w:val="676905DD"/>
    <w:rsid w:val="676905E0"/>
    <w:rsid w:val="67722AFF"/>
    <w:rsid w:val="67767E4F"/>
    <w:rsid w:val="6778730E"/>
    <w:rsid w:val="677C40C0"/>
    <w:rsid w:val="67A61834"/>
    <w:rsid w:val="67B62F33"/>
    <w:rsid w:val="67B80E5B"/>
    <w:rsid w:val="67BD092C"/>
    <w:rsid w:val="67CB129B"/>
    <w:rsid w:val="67E17D19"/>
    <w:rsid w:val="68026C59"/>
    <w:rsid w:val="68042F83"/>
    <w:rsid w:val="680C4F16"/>
    <w:rsid w:val="68345735"/>
    <w:rsid w:val="6836701F"/>
    <w:rsid w:val="68422002"/>
    <w:rsid w:val="68424A10"/>
    <w:rsid w:val="68444BA9"/>
    <w:rsid w:val="684B3327"/>
    <w:rsid w:val="684B671D"/>
    <w:rsid w:val="6877331A"/>
    <w:rsid w:val="687E171A"/>
    <w:rsid w:val="687E349E"/>
    <w:rsid w:val="6887081F"/>
    <w:rsid w:val="68934909"/>
    <w:rsid w:val="68A00707"/>
    <w:rsid w:val="68A94C2E"/>
    <w:rsid w:val="68B43ADD"/>
    <w:rsid w:val="68BB24A4"/>
    <w:rsid w:val="68C426D9"/>
    <w:rsid w:val="68F359E3"/>
    <w:rsid w:val="691415D1"/>
    <w:rsid w:val="69142029"/>
    <w:rsid w:val="6915548E"/>
    <w:rsid w:val="692D5192"/>
    <w:rsid w:val="693B5FAC"/>
    <w:rsid w:val="695A0B28"/>
    <w:rsid w:val="695D42A2"/>
    <w:rsid w:val="69605805"/>
    <w:rsid w:val="696472E2"/>
    <w:rsid w:val="69766B30"/>
    <w:rsid w:val="699174CE"/>
    <w:rsid w:val="69A371EA"/>
    <w:rsid w:val="69A8225D"/>
    <w:rsid w:val="69BE4324"/>
    <w:rsid w:val="69C164B2"/>
    <w:rsid w:val="69C42446"/>
    <w:rsid w:val="69CE3545"/>
    <w:rsid w:val="69D7234B"/>
    <w:rsid w:val="69E2467A"/>
    <w:rsid w:val="69EB79D2"/>
    <w:rsid w:val="69F16471"/>
    <w:rsid w:val="69FB2DA0"/>
    <w:rsid w:val="6A1E346D"/>
    <w:rsid w:val="6A242ECF"/>
    <w:rsid w:val="6A39164F"/>
    <w:rsid w:val="6A402F3C"/>
    <w:rsid w:val="6A44056F"/>
    <w:rsid w:val="6A616F3B"/>
    <w:rsid w:val="6A8D239D"/>
    <w:rsid w:val="6A9736B6"/>
    <w:rsid w:val="6AA13561"/>
    <w:rsid w:val="6AC22450"/>
    <w:rsid w:val="6AD2649C"/>
    <w:rsid w:val="6B0F7FF2"/>
    <w:rsid w:val="6B28003B"/>
    <w:rsid w:val="6B3D06D6"/>
    <w:rsid w:val="6B421756"/>
    <w:rsid w:val="6B4A34FC"/>
    <w:rsid w:val="6B5E77EB"/>
    <w:rsid w:val="6B637C63"/>
    <w:rsid w:val="6B786434"/>
    <w:rsid w:val="6B7A4825"/>
    <w:rsid w:val="6B994E3D"/>
    <w:rsid w:val="6B9B0F84"/>
    <w:rsid w:val="6BA93342"/>
    <w:rsid w:val="6BAD160C"/>
    <w:rsid w:val="6BB90C83"/>
    <w:rsid w:val="6BCC6F02"/>
    <w:rsid w:val="6BD4293E"/>
    <w:rsid w:val="6C02065B"/>
    <w:rsid w:val="6C151034"/>
    <w:rsid w:val="6C1F4E31"/>
    <w:rsid w:val="6C360CAD"/>
    <w:rsid w:val="6C4D2B60"/>
    <w:rsid w:val="6C5C0A4D"/>
    <w:rsid w:val="6C633B67"/>
    <w:rsid w:val="6C6475C8"/>
    <w:rsid w:val="6C6B52E6"/>
    <w:rsid w:val="6C724ED2"/>
    <w:rsid w:val="6C995AE0"/>
    <w:rsid w:val="6CCA7D73"/>
    <w:rsid w:val="6CCF37FE"/>
    <w:rsid w:val="6CE3189C"/>
    <w:rsid w:val="6CE34272"/>
    <w:rsid w:val="6CE50C71"/>
    <w:rsid w:val="6CF430F8"/>
    <w:rsid w:val="6D0632C9"/>
    <w:rsid w:val="6D0722E3"/>
    <w:rsid w:val="6D0843F7"/>
    <w:rsid w:val="6D112EDF"/>
    <w:rsid w:val="6D1159A2"/>
    <w:rsid w:val="6D471FC7"/>
    <w:rsid w:val="6D5D0BE7"/>
    <w:rsid w:val="6D705A32"/>
    <w:rsid w:val="6D893DC9"/>
    <w:rsid w:val="6D8D2B79"/>
    <w:rsid w:val="6DB2358A"/>
    <w:rsid w:val="6DB427D1"/>
    <w:rsid w:val="6DC4595A"/>
    <w:rsid w:val="6DC53CD9"/>
    <w:rsid w:val="6DD816C3"/>
    <w:rsid w:val="6DE038B9"/>
    <w:rsid w:val="6DE625BC"/>
    <w:rsid w:val="6DF91CDC"/>
    <w:rsid w:val="6E1135E9"/>
    <w:rsid w:val="6E1548C0"/>
    <w:rsid w:val="6E425683"/>
    <w:rsid w:val="6E43664A"/>
    <w:rsid w:val="6E4B24EE"/>
    <w:rsid w:val="6E757982"/>
    <w:rsid w:val="6E8925B0"/>
    <w:rsid w:val="6E922B12"/>
    <w:rsid w:val="6EA6211A"/>
    <w:rsid w:val="6EAB24D6"/>
    <w:rsid w:val="6EB83BFB"/>
    <w:rsid w:val="6EBF7A50"/>
    <w:rsid w:val="6EC8344D"/>
    <w:rsid w:val="6EE4018F"/>
    <w:rsid w:val="6EEB78B2"/>
    <w:rsid w:val="6EF271DA"/>
    <w:rsid w:val="6EF64033"/>
    <w:rsid w:val="6EFA48F9"/>
    <w:rsid w:val="6F084B83"/>
    <w:rsid w:val="6F101CA7"/>
    <w:rsid w:val="6F114954"/>
    <w:rsid w:val="6F127C6B"/>
    <w:rsid w:val="6F312060"/>
    <w:rsid w:val="6F3B2837"/>
    <w:rsid w:val="6F4F705A"/>
    <w:rsid w:val="6F5720A7"/>
    <w:rsid w:val="6F64164E"/>
    <w:rsid w:val="6F682325"/>
    <w:rsid w:val="6F7B35A7"/>
    <w:rsid w:val="6F7B438B"/>
    <w:rsid w:val="6F8150D8"/>
    <w:rsid w:val="6F9825B2"/>
    <w:rsid w:val="6FAB550E"/>
    <w:rsid w:val="6FC0545D"/>
    <w:rsid w:val="6FC53958"/>
    <w:rsid w:val="6FE63D79"/>
    <w:rsid w:val="6FEC0B48"/>
    <w:rsid w:val="6FF36A6C"/>
    <w:rsid w:val="70203A68"/>
    <w:rsid w:val="70330B0B"/>
    <w:rsid w:val="7034358E"/>
    <w:rsid w:val="7047792D"/>
    <w:rsid w:val="7074324D"/>
    <w:rsid w:val="70775F58"/>
    <w:rsid w:val="70A959A6"/>
    <w:rsid w:val="70BC5C25"/>
    <w:rsid w:val="70E86B39"/>
    <w:rsid w:val="71074964"/>
    <w:rsid w:val="71335D85"/>
    <w:rsid w:val="71340B90"/>
    <w:rsid w:val="7149012B"/>
    <w:rsid w:val="715A58D2"/>
    <w:rsid w:val="715D71F3"/>
    <w:rsid w:val="716C5695"/>
    <w:rsid w:val="717211BE"/>
    <w:rsid w:val="717369B5"/>
    <w:rsid w:val="71784D76"/>
    <w:rsid w:val="718F3EC8"/>
    <w:rsid w:val="71B24055"/>
    <w:rsid w:val="71C0676A"/>
    <w:rsid w:val="71CC3657"/>
    <w:rsid w:val="71D376CA"/>
    <w:rsid w:val="71FE04BF"/>
    <w:rsid w:val="720515A9"/>
    <w:rsid w:val="720A331A"/>
    <w:rsid w:val="724063E2"/>
    <w:rsid w:val="724261C0"/>
    <w:rsid w:val="725C4ACB"/>
    <w:rsid w:val="72621DBC"/>
    <w:rsid w:val="72720812"/>
    <w:rsid w:val="72902193"/>
    <w:rsid w:val="72926681"/>
    <w:rsid w:val="72945BA2"/>
    <w:rsid w:val="72CF180C"/>
    <w:rsid w:val="72D57909"/>
    <w:rsid w:val="72E20DDD"/>
    <w:rsid w:val="72F42C94"/>
    <w:rsid w:val="73175F6F"/>
    <w:rsid w:val="732C4840"/>
    <w:rsid w:val="734A16BE"/>
    <w:rsid w:val="7350423C"/>
    <w:rsid w:val="735B126D"/>
    <w:rsid w:val="735C419D"/>
    <w:rsid w:val="735F4C5F"/>
    <w:rsid w:val="737C0A34"/>
    <w:rsid w:val="737F4384"/>
    <w:rsid w:val="7381054C"/>
    <w:rsid w:val="738B5798"/>
    <w:rsid w:val="73A052BC"/>
    <w:rsid w:val="73A81639"/>
    <w:rsid w:val="73B322D7"/>
    <w:rsid w:val="73B82670"/>
    <w:rsid w:val="73CA24FA"/>
    <w:rsid w:val="73D232C8"/>
    <w:rsid w:val="73D8597C"/>
    <w:rsid w:val="74003859"/>
    <w:rsid w:val="74252D9E"/>
    <w:rsid w:val="74386973"/>
    <w:rsid w:val="74546174"/>
    <w:rsid w:val="745960B7"/>
    <w:rsid w:val="74654A81"/>
    <w:rsid w:val="7487654A"/>
    <w:rsid w:val="748C1DB2"/>
    <w:rsid w:val="74AC7186"/>
    <w:rsid w:val="74B10F86"/>
    <w:rsid w:val="74B50E3F"/>
    <w:rsid w:val="74B974F2"/>
    <w:rsid w:val="74BF05CD"/>
    <w:rsid w:val="74C46775"/>
    <w:rsid w:val="74CF665E"/>
    <w:rsid w:val="74D80D2B"/>
    <w:rsid w:val="74F22F60"/>
    <w:rsid w:val="74F60519"/>
    <w:rsid w:val="75235B4A"/>
    <w:rsid w:val="75284BCB"/>
    <w:rsid w:val="753A7B6F"/>
    <w:rsid w:val="7540221F"/>
    <w:rsid w:val="754A4D59"/>
    <w:rsid w:val="754C5E85"/>
    <w:rsid w:val="75663932"/>
    <w:rsid w:val="757665FE"/>
    <w:rsid w:val="7592164A"/>
    <w:rsid w:val="75A5061A"/>
    <w:rsid w:val="75BF0081"/>
    <w:rsid w:val="75CA4B68"/>
    <w:rsid w:val="75DE78C7"/>
    <w:rsid w:val="75E60E3E"/>
    <w:rsid w:val="75E75ECF"/>
    <w:rsid w:val="75F20CED"/>
    <w:rsid w:val="75F86291"/>
    <w:rsid w:val="760200CD"/>
    <w:rsid w:val="76052EE7"/>
    <w:rsid w:val="76125555"/>
    <w:rsid w:val="76156FFD"/>
    <w:rsid w:val="76281635"/>
    <w:rsid w:val="763B7E3D"/>
    <w:rsid w:val="763C6D56"/>
    <w:rsid w:val="763C7107"/>
    <w:rsid w:val="7662101C"/>
    <w:rsid w:val="76816A76"/>
    <w:rsid w:val="768F5B89"/>
    <w:rsid w:val="76911902"/>
    <w:rsid w:val="76A85D5A"/>
    <w:rsid w:val="76C9709A"/>
    <w:rsid w:val="76DB492B"/>
    <w:rsid w:val="76E17205"/>
    <w:rsid w:val="76E417C3"/>
    <w:rsid w:val="76F86A43"/>
    <w:rsid w:val="772F3867"/>
    <w:rsid w:val="7732347C"/>
    <w:rsid w:val="77332558"/>
    <w:rsid w:val="77373B49"/>
    <w:rsid w:val="774B4123"/>
    <w:rsid w:val="77720788"/>
    <w:rsid w:val="778C3E77"/>
    <w:rsid w:val="77925931"/>
    <w:rsid w:val="77964320"/>
    <w:rsid w:val="779802A1"/>
    <w:rsid w:val="779C230C"/>
    <w:rsid w:val="77A27EFA"/>
    <w:rsid w:val="77BF1E80"/>
    <w:rsid w:val="77CF5AA9"/>
    <w:rsid w:val="77D2682E"/>
    <w:rsid w:val="77D4478B"/>
    <w:rsid w:val="77DC095A"/>
    <w:rsid w:val="77E502E0"/>
    <w:rsid w:val="77E55803"/>
    <w:rsid w:val="77F117AB"/>
    <w:rsid w:val="77F4762A"/>
    <w:rsid w:val="77FF339F"/>
    <w:rsid w:val="780C2583"/>
    <w:rsid w:val="782E3F26"/>
    <w:rsid w:val="7837799C"/>
    <w:rsid w:val="783D7594"/>
    <w:rsid w:val="783F7C6D"/>
    <w:rsid w:val="784A0269"/>
    <w:rsid w:val="7853374F"/>
    <w:rsid w:val="785D1817"/>
    <w:rsid w:val="786D5113"/>
    <w:rsid w:val="787E5EB6"/>
    <w:rsid w:val="78BE08B9"/>
    <w:rsid w:val="78CA5A93"/>
    <w:rsid w:val="78D91F8E"/>
    <w:rsid w:val="78DF6005"/>
    <w:rsid w:val="78E51098"/>
    <w:rsid w:val="790A2CDA"/>
    <w:rsid w:val="790C6D01"/>
    <w:rsid w:val="79143D96"/>
    <w:rsid w:val="79441A01"/>
    <w:rsid w:val="794B3F7A"/>
    <w:rsid w:val="794E12A4"/>
    <w:rsid w:val="79501600"/>
    <w:rsid w:val="79686EA8"/>
    <w:rsid w:val="79732C43"/>
    <w:rsid w:val="799A74C8"/>
    <w:rsid w:val="79CB0E31"/>
    <w:rsid w:val="79D37AE1"/>
    <w:rsid w:val="79DD60CF"/>
    <w:rsid w:val="79E12C58"/>
    <w:rsid w:val="79F301DD"/>
    <w:rsid w:val="7A293D62"/>
    <w:rsid w:val="7A440A39"/>
    <w:rsid w:val="7A56021C"/>
    <w:rsid w:val="7A5A0D7E"/>
    <w:rsid w:val="7A65385F"/>
    <w:rsid w:val="7A7A1FAC"/>
    <w:rsid w:val="7A9F1A25"/>
    <w:rsid w:val="7AA856F8"/>
    <w:rsid w:val="7AB4366F"/>
    <w:rsid w:val="7AC375B8"/>
    <w:rsid w:val="7AC9199E"/>
    <w:rsid w:val="7AE72A4A"/>
    <w:rsid w:val="7AF133D3"/>
    <w:rsid w:val="7AF1530C"/>
    <w:rsid w:val="7AF25B75"/>
    <w:rsid w:val="7B0A601E"/>
    <w:rsid w:val="7B34141D"/>
    <w:rsid w:val="7B3C432C"/>
    <w:rsid w:val="7B434897"/>
    <w:rsid w:val="7B580C40"/>
    <w:rsid w:val="7B5C0079"/>
    <w:rsid w:val="7B600D18"/>
    <w:rsid w:val="7B6E023E"/>
    <w:rsid w:val="7B711D02"/>
    <w:rsid w:val="7B7B11B5"/>
    <w:rsid w:val="7B857F5D"/>
    <w:rsid w:val="7B933A26"/>
    <w:rsid w:val="7BA615F7"/>
    <w:rsid w:val="7BB466DC"/>
    <w:rsid w:val="7BBD2838"/>
    <w:rsid w:val="7BD55DED"/>
    <w:rsid w:val="7BEE4D6E"/>
    <w:rsid w:val="7BFA65BD"/>
    <w:rsid w:val="7C330D65"/>
    <w:rsid w:val="7C395E37"/>
    <w:rsid w:val="7C4876AA"/>
    <w:rsid w:val="7C5F7CCE"/>
    <w:rsid w:val="7C772F8A"/>
    <w:rsid w:val="7C775912"/>
    <w:rsid w:val="7C7B135B"/>
    <w:rsid w:val="7C8333A7"/>
    <w:rsid w:val="7C994948"/>
    <w:rsid w:val="7CA518D3"/>
    <w:rsid w:val="7CBC0FD7"/>
    <w:rsid w:val="7CE62A1F"/>
    <w:rsid w:val="7CEC1655"/>
    <w:rsid w:val="7CEE24CC"/>
    <w:rsid w:val="7CF45911"/>
    <w:rsid w:val="7D3C1C44"/>
    <w:rsid w:val="7D5B5B69"/>
    <w:rsid w:val="7D5E0D26"/>
    <w:rsid w:val="7D9377DC"/>
    <w:rsid w:val="7D9D3331"/>
    <w:rsid w:val="7DA01B54"/>
    <w:rsid w:val="7DA74646"/>
    <w:rsid w:val="7DC217ED"/>
    <w:rsid w:val="7DDD4202"/>
    <w:rsid w:val="7DDF73F6"/>
    <w:rsid w:val="7DE16E96"/>
    <w:rsid w:val="7DE44A0D"/>
    <w:rsid w:val="7DEA0D66"/>
    <w:rsid w:val="7DED1FB1"/>
    <w:rsid w:val="7DFF610B"/>
    <w:rsid w:val="7E363F9C"/>
    <w:rsid w:val="7E4436FD"/>
    <w:rsid w:val="7E490D14"/>
    <w:rsid w:val="7E516E96"/>
    <w:rsid w:val="7E591694"/>
    <w:rsid w:val="7E644418"/>
    <w:rsid w:val="7E8922A7"/>
    <w:rsid w:val="7E9F470E"/>
    <w:rsid w:val="7ED93E46"/>
    <w:rsid w:val="7EDF0647"/>
    <w:rsid w:val="7EEB3B79"/>
    <w:rsid w:val="7EF032B5"/>
    <w:rsid w:val="7EF42A2E"/>
    <w:rsid w:val="7EFD0BD8"/>
    <w:rsid w:val="7EFE1AFE"/>
    <w:rsid w:val="7F00695D"/>
    <w:rsid w:val="7F08472B"/>
    <w:rsid w:val="7F0927A3"/>
    <w:rsid w:val="7F092840"/>
    <w:rsid w:val="7F160BF6"/>
    <w:rsid w:val="7F1629A4"/>
    <w:rsid w:val="7F206003"/>
    <w:rsid w:val="7F2E2974"/>
    <w:rsid w:val="7F4C09CB"/>
    <w:rsid w:val="7F55424A"/>
    <w:rsid w:val="7F59268F"/>
    <w:rsid w:val="7F665216"/>
    <w:rsid w:val="7F6974FE"/>
    <w:rsid w:val="7F7A7242"/>
    <w:rsid w:val="7F89648C"/>
    <w:rsid w:val="7F924524"/>
    <w:rsid w:val="7F967F89"/>
    <w:rsid w:val="7FB64B17"/>
    <w:rsid w:val="7FB671F8"/>
    <w:rsid w:val="7FBE4378"/>
    <w:rsid w:val="7FD665D7"/>
    <w:rsid w:val="7FD87970"/>
    <w:rsid w:val="7FF12A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ind w:firstLine="200" w:firstLineChars="200"/>
      <w:jc w:val="both"/>
    </w:pPr>
    <w:rPr>
      <w:rFonts w:ascii="Times New Roman" w:hAnsi="Times New Roman" w:eastAsia="仿宋_GB2312" w:cs="Times New Roman"/>
      <w:kern w:val="2"/>
      <w:sz w:val="28"/>
      <w:szCs w:val="24"/>
      <w:lang w:val="en-US" w:eastAsia="zh-CN" w:bidi="ar-SA"/>
    </w:rPr>
  </w:style>
  <w:style w:type="paragraph" w:styleId="2">
    <w:name w:val="heading 1"/>
    <w:basedOn w:val="1"/>
    <w:next w:val="1"/>
    <w:qFormat/>
    <w:uiPriority w:val="0"/>
    <w:pPr>
      <w:keepNext/>
      <w:keepLines/>
      <w:numPr>
        <w:ilvl w:val="0"/>
        <w:numId w:val="1"/>
      </w:numPr>
      <w:adjustRightInd/>
      <w:spacing w:before="340" w:after="330"/>
      <w:ind w:firstLineChars="0"/>
      <w:outlineLvl w:val="0"/>
    </w:pPr>
    <w:rPr>
      <w:rFonts w:eastAsia="黑体"/>
      <w:b/>
      <w:bCs/>
      <w:kern w:val="44"/>
      <w:sz w:val="32"/>
      <w:szCs w:val="44"/>
    </w:rPr>
  </w:style>
  <w:style w:type="paragraph" w:styleId="3">
    <w:name w:val="heading 2"/>
    <w:basedOn w:val="1"/>
    <w:next w:val="1"/>
    <w:qFormat/>
    <w:uiPriority w:val="0"/>
    <w:pPr>
      <w:keepNext/>
      <w:keepLines/>
      <w:numPr>
        <w:ilvl w:val="1"/>
        <w:numId w:val="1"/>
      </w:numPr>
      <w:adjustRightInd/>
      <w:spacing w:before="120" w:after="120"/>
      <w:ind w:firstLineChars="0"/>
      <w:outlineLvl w:val="1"/>
    </w:pPr>
    <w:rPr>
      <w:rFonts w:ascii="Arial" w:hAnsi="Arial" w:eastAsia="黑体"/>
      <w:b/>
      <w:bCs/>
      <w:sz w:val="30"/>
      <w:szCs w:val="32"/>
    </w:rPr>
  </w:style>
  <w:style w:type="paragraph" w:styleId="4">
    <w:name w:val="heading 3"/>
    <w:basedOn w:val="1"/>
    <w:next w:val="1"/>
    <w:qFormat/>
    <w:uiPriority w:val="0"/>
    <w:pPr>
      <w:keepNext/>
      <w:keepLines/>
      <w:numPr>
        <w:ilvl w:val="2"/>
        <w:numId w:val="1"/>
      </w:numPr>
      <w:adjustRightInd/>
      <w:ind w:firstLineChars="0"/>
      <w:outlineLvl w:val="2"/>
    </w:pPr>
    <w:rPr>
      <w:rFonts w:eastAsia="黑体"/>
      <w:b/>
      <w:bCs/>
      <w:szCs w:val="32"/>
    </w:rPr>
  </w:style>
  <w:style w:type="paragraph" w:styleId="5">
    <w:name w:val="heading 4"/>
    <w:basedOn w:val="1"/>
    <w:next w:val="1"/>
    <w:qFormat/>
    <w:uiPriority w:val="0"/>
    <w:pPr>
      <w:keepNext/>
      <w:keepLines/>
      <w:numPr>
        <w:ilvl w:val="3"/>
        <w:numId w:val="1"/>
      </w:numPr>
      <w:spacing w:before="280" w:after="290" w:line="376" w:lineRule="auto"/>
      <w:ind w:firstLineChars="0"/>
      <w:outlineLvl w:val="3"/>
    </w:pPr>
    <w:rPr>
      <w:rFonts w:ascii="Arial" w:hAnsi="Arial" w:eastAsia="黑体"/>
      <w:b/>
      <w:bCs/>
      <w:szCs w:val="28"/>
    </w:rPr>
  </w:style>
  <w:style w:type="paragraph" w:styleId="6">
    <w:name w:val="heading 5"/>
    <w:basedOn w:val="1"/>
    <w:next w:val="1"/>
    <w:qFormat/>
    <w:uiPriority w:val="0"/>
    <w:pPr>
      <w:keepNext/>
      <w:keepLines/>
      <w:numPr>
        <w:ilvl w:val="4"/>
        <w:numId w:val="1"/>
      </w:numPr>
      <w:spacing w:before="280" w:after="290" w:line="376" w:lineRule="auto"/>
      <w:ind w:firstLine="0" w:firstLineChars="0"/>
      <w:outlineLvl w:val="4"/>
    </w:pPr>
    <w:rPr>
      <w:b/>
      <w:bCs/>
      <w:szCs w:val="28"/>
    </w:rPr>
  </w:style>
  <w:style w:type="paragraph" w:styleId="7">
    <w:name w:val="heading 6"/>
    <w:basedOn w:val="1"/>
    <w:next w:val="1"/>
    <w:qFormat/>
    <w:uiPriority w:val="0"/>
    <w:pPr>
      <w:keepNext/>
      <w:keepLines/>
      <w:numPr>
        <w:ilvl w:val="5"/>
        <w:numId w:val="1"/>
      </w:numPr>
      <w:spacing w:before="240" w:after="64" w:line="320" w:lineRule="auto"/>
      <w:ind w:firstLine="0" w:firstLineChars="0"/>
      <w:outlineLvl w:val="5"/>
    </w:pPr>
    <w:rPr>
      <w:rFonts w:ascii="Arial" w:hAnsi="Arial" w:eastAsia="黑体"/>
      <w:b/>
      <w:bCs/>
      <w:sz w:val="24"/>
    </w:rPr>
  </w:style>
  <w:style w:type="paragraph" w:styleId="8">
    <w:name w:val="heading 7"/>
    <w:basedOn w:val="1"/>
    <w:next w:val="1"/>
    <w:qFormat/>
    <w:uiPriority w:val="0"/>
    <w:pPr>
      <w:keepNext/>
      <w:keepLines/>
      <w:numPr>
        <w:ilvl w:val="6"/>
        <w:numId w:val="1"/>
      </w:numPr>
      <w:spacing w:before="240" w:after="64" w:line="320" w:lineRule="auto"/>
      <w:ind w:firstLine="0" w:firstLineChars="0"/>
      <w:outlineLvl w:val="6"/>
    </w:pPr>
    <w:rPr>
      <w:b/>
      <w:bCs/>
      <w:sz w:val="24"/>
    </w:rPr>
  </w:style>
  <w:style w:type="paragraph" w:styleId="9">
    <w:name w:val="heading 8"/>
    <w:basedOn w:val="1"/>
    <w:next w:val="1"/>
    <w:qFormat/>
    <w:uiPriority w:val="0"/>
    <w:pPr>
      <w:keepNext/>
      <w:keepLines/>
      <w:numPr>
        <w:ilvl w:val="7"/>
        <w:numId w:val="1"/>
      </w:numPr>
      <w:spacing w:before="240" w:after="64" w:line="320" w:lineRule="auto"/>
      <w:ind w:firstLine="0" w:firstLineChars="0"/>
      <w:outlineLvl w:val="7"/>
    </w:pPr>
    <w:rPr>
      <w:rFonts w:ascii="Arial" w:hAnsi="Arial" w:eastAsia="黑体"/>
      <w:sz w:val="24"/>
    </w:rPr>
  </w:style>
  <w:style w:type="paragraph" w:styleId="10">
    <w:name w:val="heading 9"/>
    <w:basedOn w:val="1"/>
    <w:next w:val="1"/>
    <w:qFormat/>
    <w:uiPriority w:val="0"/>
    <w:pPr>
      <w:keepNext/>
      <w:keepLines/>
      <w:numPr>
        <w:ilvl w:val="8"/>
        <w:numId w:val="1"/>
      </w:numPr>
      <w:spacing w:before="240" w:after="64" w:line="320" w:lineRule="auto"/>
      <w:ind w:firstLine="0" w:firstLineChars="0"/>
      <w:outlineLvl w:val="8"/>
    </w:pPr>
    <w:rPr>
      <w:rFonts w:ascii="Arial" w:hAnsi="Arial" w:eastAsia="黑体"/>
      <w:szCs w:val="21"/>
    </w:rPr>
  </w:style>
  <w:style w:type="character" w:default="1" w:styleId="34">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11">
    <w:name w:val="table of authorities"/>
    <w:basedOn w:val="1"/>
    <w:next w:val="1"/>
    <w:qFormat/>
    <w:uiPriority w:val="0"/>
    <w:pPr>
      <w:ind w:left="420" w:leftChars="200"/>
    </w:pPr>
  </w:style>
  <w:style w:type="paragraph" w:styleId="12">
    <w:name w:val="caption"/>
    <w:basedOn w:val="1"/>
    <w:next w:val="1"/>
    <w:qFormat/>
    <w:uiPriority w:val="0"/>
    <w:rPr>
      <w:rFonts w:ascii="Arial" w:hAnsi="Arial" w:eastAsia="黑体" w:cs="Arial"/>
      <w:sz w:val="20"/>
      <w:szCs w:val="20"/>
    </w:rPr>
  </w:style>
  <w:style w:type="paragraph" w:styleId="13">
    <w:name w:val="Document Map"/>
    <w:basedOn w:val="1"/>
    <w:semiHidden/>
    <w:qFormat/>
    <w:uiPriority w:val="0"/>
    <w:pPr>
      <w:shd w:val="clear" w:color="auto" w:fill="000080"/>
    </w:pPr>
  </w:style>
  <w:style w:type="paragraph" w:styleId="14">
    <w:name w:val="toa heading"/>
    <w:basedOn w:val="1"/>
    <w:next w:val="1"/>
    <w:qFormat/>
    <w:uiPriority w:val="0"/>
    <w:pPr>
      <w:spacing w:before="120"/>
    </w:pPr>
    <w:rPr>
      <w:rFonts w:ascii="Cambria" w:hAnsi="Cambria" w:eastAsia="宋体"/>
      <w:sz w:val="24"/>
    </w:rPr>
  </w:style>
  <w:style w:type="paragraph" w:styleId="15">
    <w:name w:val="annotation text"/>
    <w:basedOn w:val="1"/>
    <w:semiHidden/>
    <w:qFormat/>
    <w:uiPriority w:val="0"/>
    <w:pPr>
      <w:jc w:val="left"/>
    </w:pPr>
  </w:style>
  <w:style w:type="paragraph" w:styleId="16">
    <w:name w:val="Body Text"/>
    <w:basedOn w:val="1"/>
    <w:qFormat/>
    <w:uiPriority w:val="0"/>
    <w:pPr>
      <w:adjustRightInd/>
      <w:spacing w:after="120" w:line="240" w:lineRule="auto"/>
      <w:ind w:firstLine="0" w:firstLineChars="0"/>
    </w:pPr>
    <w:rPr>
      <w:rFonts w:eastAsia="宋体"/>
      <w:sz w:val="21"/>
      <w:szCs w:val="20"/>
    </w:rPr>
  </w:style>
  <w:style w:type="paragraph" w:styleId="17">
    <w:name w:val="Body Text Indent"/>
    <w:basedOn w:val="1"/>
    <w:qFormat/>
    <w:uiPriority w:val="0"/>
    <w:pPr>
      <w:spacing w:after="120"/>
      <w:ind w:left="420" w:leftChars="200"/>
    </w:pPr>
  </w:style>
  <w:style w:type="paragraph" w:styleId="18">
    <w:name w:val="toc 3"/>
    <w:basedOn w:val="1"/>
    <w:next w:val="1"/>
    <w:qFormat/>
    <w:uiPriority w:val="39"/>
    <w:pPr>
      <w:tabs>
        <w:tab w:val="left" w:pos="1680"/>
        <w:tab w:val="left" w:pos="1995"/>
        <w:tab w:val="right" w:leader="dot" w:pos="8664"/>
      </w:tabs>
      <w:adjustRightInd/>
      <w:ind w:firstLine="1049" w:firstLineChars="437"/>
    </w:pPr>
    <w:rPr>
      <w:sz w:val="24"/>
    </w:rPr>
  </w:style>
  <w:style w:type="paragraph" w:styleId="19">
    <w:name w:val="Plain Text"/>
    <w:basedOn w:val="1"/>
    <w:link w:val="99"/>
    <w:qFormat/>
    <w:uiPriority w:val="0"/>
    <w:pPr>
      <w:adjustRightInd/>
      <w:spacing w:line="240" w:lineRule="auto"/>
      <w:ind w:firstLine="0" w:firstLineChars="0"/>
    </w:pPr>
    <w:rPr>
      <w:rFonts w:ascii="宋体" w:hAnsi="Courier New" w:eastAsia="宋体" w:cs="Courier New"/>
      <w:sz w:val="21"/>
      <w:szCs w:val="21"/>
    </w:rPr>
  </w:style>
  <w:style w:type="paragraph" w:styleId="20">
    <w:name w:val="Date"/>
    <w:basedOn w:val="1"/>
    <w:next w:val="1"/>
    <w:qFormat/>
    <w:uiPriority w:val="0"/>
    <w:pPr>
      <w:adjustRightInd/>
      <w:spacing w:line="240" w:lineRule="auto"/>
      <w:ind w:left="100" w:leftChars="2500" w:firstLine="0" w:firstLineChars="0"/>
    </w:pPr>
    <w:rPr>
      <w:rFonts w:eastAsia="宋体"/>
      <w:sz w:val="21"/>
    </w:rPr>
  </w:style>
  <w:style w:type="paragraph" w:styleId="21">
    <w:name w:val="Body Text Indent 2"/>
    <w:basedOn w:val="1"/>
    <w:qFormat/>
    <w:uiPriority w:val="0"/>
    <w:pPr>
      <w:spacing w:after="120" w:line="480" w:lineRule="auto"/>
      <w:ind w:left="420" w:leftChars="200"/>
    </w:pPr>
  </w:style>
  <w:style w:type="paragraph" w:styleId="22">
    <w:name w:val="Balloon Text"/>
    <w:basedOn w:val="1"/>
    <w:semiHidden/>
    <w:qFormat/>
    <w:uiPriority w:val="0"/>
    <w:rPr>
      <w:sz w:val="18"/>
      <w:szCs w:val="18"/>
    </w:rPr>
  </w:style>
  <w:style w:type="paragraph" w:styleId="23">
    <w:name w:val="footer"/>
    <w:basedOn w:val="1"/>
    <w:link w:val="40"/>
    <w:qFormat/>
    <w:uiPriority w:val="99"/>
    <w:pPr>
      <w:tabs>
        <w:tab w:val="center" w:pos="4153"/>
        <w:tab w:val="right" w:pos="8306"/>
      </w:tabs>
      <w:adjustRightInd/>
      <w:snapToGrid w:val="0"/>
      <w:spacing w:line="240" w:lineRule="auto"/>
      <w:ind w:firstLine="0" w:firstLineChars="0"/>
      <w:jc w:val="left"/>
    </w:pPr>
    <w:rPr>
      <w:rFonts w:eastAsia="宋体"/>
      <w:sz w:val="18"/>
      <w:szCs w:val="18"/>
      <w:lang w:val="zh-CN"/>
    </w:rPr>
  </w:style>
  <w:style w:type="paragraph" w:styleId="24">
    <w:name w:val="header"/>
    <w:basedOn w:val="1"/>
    <w:qFormat/>
    <w:uiPriority w:val="0"/>
    <w:pPr>
      <w:pBdr>
        <w:bottom w:val="single" w:color="auto" w:sz="6" w:space="1"/>
      </w:pBdr>
      <w:tabs>
        <w:tab w:val="center" w:pos="4153"/>
        <w:tab w:val="right" w:pos="8306"/>
      </w:tabs>
      <w:adjustRightInd/>
      <w:snapToGrid w:val="0"/>
      <w:spacing w:line="240" w:lineRule="auto"/>
      <w:ind w:firstLine="0" w:firstLineChars="0"/>
      <w:jc w:val="center"/>
    </w:pPr>
    <w:rPr>
      <w:rFonts w:eastAsia="宋体"/>
      <w:sz w:val="18"/>
      <w:szCs w:val="18"/>
    </w:rPr>
  </w:style>
  <w:style w:type="paragraph" w:styleId="25">
    <w:name w:val="toc 1"/>
    <w:basedOn w:val="1"/>
    <w:next w:val="1"/>
    <w:qFormat/>
    <w:uiPriority w:val="39"/>
    <w:pPr>
      <w:tabs>
        <w:tab w:val="left" w:pos="1050"/>
        <w:tab w:val="left" w:pos="1260"/>
        <w:tab w:val="right" w:leader="dot" w:pos="8664"/>
      </w:tabs>
      <w:adjustRightInd/>
      <w:ind w:firstLine="0" w:firstLineChars="0"/>
    </w:pPr>
    <w:rPr>
      <w:rFonts w:eastAsia="黑体"/>
      <w:b/>
      <w:szCs w:val="28"/>
    </w:rPr>
  </w:style>
  <w:style w:type="paragraph" w:styleId="26">
    <w:name w:val="Subtitle"/>
    <w:basedOn w:val="1"/>
    <w:next w:val="1"/>
    <w:qFormat/>
    <w:uiPriority w:val="11"/>
    <w:pPr>
      <w:jc w:val="left"/>
      <w:outlineLvl w:val="1"/>
    </w:pPr>
    <w:rPr>
      <w:rFonts w:eastAsia="黑体"/>
      <w:bCs/>
      <w:kern w:val="28"/>
      <w:szCs w:val="32"/>
    </w:rPr>
  </w:style>
  <w:style w:type="paragraph" w:styleId="27">
    <w:name w:val="footnote text"/>
    <w:basedOn w:val="1"/>
    <w:semiHidden/>
    <w:qFormat/>
    <w:uiPriority w:val="0"/>
    <w:pPr>
      <w:adjustRightInd/>
      <w:snapToGrid w:val="0"/>
      <w:spacing w:line="240" w:lineRule="auto"/>
      <w:ind w:firstLine="0" w:firstLineChars="0"/>
      <w:jc w:val="left"/>
    </w:pPr>
    <w:rPr>
      <w:rFonts w:ascii="幼圆" w:eastAsia="幼圆"/>
      <w:kern w:val="11"/>
      <w:sz w:val="18"/>
      <w:szCs w:val="18"/>
    </w:rPr>
  </w:style>
  <w:style w:type="paragraph" w:styleId="28">
    <w:name w:val="toc 2"/>
    <w:basedOn w:val="1"/>
    <w:next w:val="1"/>
    <w:qFormat/>
    <w:uiPriority w:val="39"/>
    <w:pPr>
      <w:tabs>
        <w:tab w:val="left" w:pos="1050"/>
        <w:tab w:val="right" w:leader="dot" w:pos="8664"/>
      </w:tabs>
      <w:adjustRightInd/>
      <w:ind w:firstLine="523" w:firstLineChars="217"/>
    </w:pPr>
    <w:rPr>
      <w:rFonts w:eastAsia="黑体"/>
      <w:b/>
      <w:sz w:val="24"/>
    </w:rPr>
  </w:style>
  <w:style w:type="paragraph" w:styleId="2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0" w:firstLineChars="0"/>
      <w:jc w:val="left"/>
    </w:pPr>
    <w:rPr>
      <w:rFonts w:ascii="宋体" w:hAnsi="宋体" w:eastAsia="宋体" w:cs="宋体"/>
      <w:kern w:val="0"/>
      <w:sz w:val="24"/>
    </w:rPr>
  </w:style>
  <w:style w:type="paragraph" w:styleId="30">
    <w:name w:val="Normal (Web)"/>
    <w:basedOn w:val="1"/>
    <w:qFormat/>
    <w:uiPriority w:val="0"/>
    <w:pPr>
      <w:widowControl/>
      <w:adjustRightInd/>
      <w:spacing w:before="100" w:beforeAutospacing="1" w:after="100" w:afterAutospacing="1" w:line="240" w:lineRule="auto"/>
      <w:ind w:firstLine="0" w:firstLineChars="0"/>
      <w:jc w:val="left"/>
    </w:pPr>
    <w:rPr>
      <w:rFonts w:ascii="宋体" w:hAnsi="宋体" w:eastAsia="宋体" w:cs="宋体"/>
      <w:color w:val="000000"/>
      <w:kern w:val="0"/>
      <w:sz w:val="24"/>
    </w:rPr>
  </w:style>
  <w:style w:type="paragraph" w:styleId="31">
    <w:name w:val="annotation subject"/>
    <w:basedOn w:val="15"/>
    <w:next w:val="15"/>
    <w:semiHidden/>
    <w:qFormat/>
    <w:uiPriority w:val="0"/>
    <w:rPr>
      <w:b/>
      <w:bCs/>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basedOn w:val="34"/>
    <w:qFormat/>
    <w:uiPriority w:val="0"/>
    <w:rPr>
      <w:b/>
    </w:rPr>
  </w:style>
  <w:style w:type="character" w:styleId="36">
    <w:name w:val="page number"/>
    <w:basedOn w:val="34"/>
    <w:qFormat/>
    <w:uiPriority w:val="0"/>
  </w:style>
  <w:style w:type="character" w:styleId="37">
    <w:name w:val="Hyperlink"/>
    <w:qFormat/>
    <w:uiPriority w:val="99"/>
    <w:rPr>
      <w:color w:val="0000FF"/>
      <w:u w:val="single"/>
    </w:rPr>
  </w:style>
  <w:style w:type="character" w:styleId="38">
    <w:name w:val="annotation reference"/>
    <w:semiHidden/>
    <w:qFormat/>
    <w:uiPriority w:val="0"/>
    <w:rPr>
      <w:sz w:val="21"/>
      <w:szCs w:val="21"/>
    </w:rPr>
  </w:style>
  <w:style w:type="character" w:styleId="39">
    <w:name w:val="footnote reference"/>
    <w:semiHidden/>
    <w:qFormat/>
    <w:uiPriority w:val="0"/>
    <w:rPr>
      <w:vertAlign w:val="superscript"/>
    </w:rPr>
  </w:style>
  <w:style w:type="character" w:customStyle="1" w:styleId="40">
    <w:name w:val="页脚 Char"/>
    <w:link w:val="23"/>
    <w:qFormat/>
    <w:uiPriority w:val="99"/>
    <w:rPr>
      <w:kern w:val="2"/>
      <w:sz w:val="18"/>
      <w:szCs w:val="18"/>
    </w:rPr>
  </w:style>
  <w:style w:type="character" w:customStyle="1" w:styleId="41">
    <w:name w:val="已访问的超链接1"/>
    <w:unhideWhenUsed/>
    <w:qFormat/>
    <w:uiPriority w:val="99"/>
    <w:rPr>
      <w:color w:val="800080"/>
      <w:u w:val="single"/>
    </w:rPr>
  </w:style>
  <w:style w:type="character" w:customStyle="1" w:styleId="42">
    <w:name w:val="txt"/>
    <w:basedOn w:val="34"/>
    <w:qFormat/>
    <w:uiPriority w:val="0"/>
  </w:style>
  <w:style w:type="character" w:customStyle="1" w:styleId="43">
    <w:name w:val="样式 列表 + 宋体 五号 Char Char Char Char Char Char Char Char Char Char Char Char Char Char"/>
    <w:qFormat/>
    <w:uiPriority w:val="0"/>
    <w:rPr>
      <w:rFonts w:eastAsia="宋体"/>
      <w:snapToGrid w:val="0"/>
      <w:spacing w:val="8"/>
      <w:kern w:val="24"/>
      <w:sz w:val="21"/>
      <w:lang w:val="en-US" w:eastAsia="zh-CN"/>
    </w:rPr>
  </w:style>
  <w:style w:type="character" w:customStyle="1" w:styleId="44">
    <w:name w:val="样式 (中文) 仿宋_GB2312 自动设置"/>
    <w:qFormat/>
    <w:uiPriority w:val="0"/>
    <w:rPr>
      <w:rFonts w:eastAsia="仿宋_GB2312" w:cs="宋体"/>
      <w:bCs/>
      <w:color w:val="auto"/>
      <w:kern w:val="2"/>
      <w:sz w:val="28"/>
      <w:szCs w:val="24"/>
      <w:lang w:val="en-US" w:eastAsia="zh-CN" w:bidi="ar-SA"/>
    </w:rPr>
  </w:style>
  <w:style w:type="character" w:customStyle="1" w:styleId="45">
    <w:name w:val="item1"/>
    <w:qFormat/>
    <w:uiPriority w:val="0"/>
    <w:rPr>
      <w:color w:val="0000FF"/>
    </w:rPr>
  </w:style>
  <w:style w:type="character" w:customStyle="1" w:styleId="46">
    <w:name w:val="neirong1"/>
    <w:qFormat/>
    <w:uiPriority w:val="99"/>
    <w:rPr>
      <w:rFonts w:cs="Times New Roman"/>
      <w:color w:val="000000"/>
      <w:sz w:val="21"/>
      <w:szCs w:val="21"/>
    </w:rPr>
  </w:style>
  <w:style w:type="character" w:customStyle="1" w:styleId="47">
    <w:name w:val="样式 标题 1 + (西文) Arial Black (中文) 宋体 Char"/>
    <w:link w:val="48"/>
    <w:qFormat/>
    <w:uiPriority w:val="0"/>
    <w:rPr>
      <w:rFonts w:ascii="Arial Black" w:hAnsi="Arial Black"/>
      <w:b/>
      <w:bCs/>
      <w:kern w:val="44"/>
      <w:sz w:val="32"/>
    </w:rPr>
  </w:style>
  <w:style w:type="paragraph" w:customStyle="1" w:styleId="48">
    <w:name w:val="样式 标题 1 + (西文) Arial Black (中文) 宋体"/>
    <w:basedOn w:val="2"/>
    <w:link w:val="47"/>
    <w:qFormat/>
    <w:uiPriority w:val="0"/>
    <w:pPr>
      <w:numPr>
        <w:numId w:val="0"/>
      </w:numPr>
      <w:jc w:val="center"/>
    </w:pPr>
    <w:rPr>
      <w:rFonts w:ascii="Arial Black" w:hAnsi="Arial Black" w:eastAsia="宋体"/>
      <w:szCs w:val="20"/>
      <w:lang w:val="zh-CN"/>
    </w:rPr>
  </w:style>
  <w:style w:type="character" w:customStyle="1" w:styleId="49">
    <w:name w:val="txt1"/>
    <w:basedOn w:val="34"/>
    <w:qFormat/>
    <w:uiPriority w:val="0"/>
  </w:style>
  <w:style w:type="character" w:customStyle="1" w:styleId="50">
    <w:name w:val="文字主体 Char"/>
    <w:link w:val="51"/>
    <w:qFormat/>
    <w:uiPriority w:val="0"/>
    <w:rPr>
      <w:kern w:val="2"/>
      <w:sz w:val="24"/>
      <w:szCs w:val="24"/>
    </w:rPr>
  </w:style>
  <w:style w:type="paragraph" w:customStyle="1" w:styleId="51">
    <w:name w:val="文字主体"/>
    <w:basedOn w:val="1"/>
    <w:link w:val="50"/>
    <w:qFormat/>
    <w:uiPriority w:val="0"/>
    <w:pPr>
      <w:snapToGrid w:val="0"/>
      <w:spacing w:beforeLines="50" w:afterLines="50"/>
    </w:pPr>
    <w:rPr>
      <w:rFonts w:eastAsia="宋体"/>
      <w:sz w:val="24"/>
      <w:lang w:val="zh-CN"/>
    </w:rPr>
  </w:style>
  <w:style w:type="paragraph" w:customStyle="1" w:styleId="52">
    <w:name w:val="xl72"/>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53">
    <w:name w:val="xl81"/>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54">
    <w:name w:val="xl89"/>
    <w:basedOn w:val="1"/>
    <w:qFormat/>
    <w:uiPriority w:val="0"/>
    <w:pPr>
      <w:widowControl/>
      <w:pBdr>
        <w:bottom w:val="single" w:color="auto" w:sz="4" w:space="0"/>
        <w:right w:val="single" w:color="auto" w:sz="4" w:space="0"/>
      </w:pBdr>
      <w:adjustRightIn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55">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56">
    <w:name w:val="xl94"/>
    <w:basedOn w:val="1"/>
    <w:qFormat/>
    <w:uiPriority w:val="0"/>
    <w:pPr>
      <w:widowControl/>
      <w:pBdr>
        <w:top w:val="single" w:color="auto" w:sz="4" w:space="0"/>
      </w:pBdr>
      <w:adjustRightInd/>
      <w:spacing w:before="100" w:beforeAutospacing="1" w:after="100" w:afterAutospacing="1" w:line="240" w:lineRule="auto"/>
      <w:ind w:firstLine="0" w:firstLineChars="0"/>
      <w:jc w:val="center"/>
    </w:pPr>
    <w:rPr>
      <w:rFonts w:ascii="宋体" w:hAnsi="宋体" w:eastAsia="宋体" w:cs="宋体"/>
      <w:kern w:val="0"/>
      <w:sz w:val="24"/>
    </w:rPr>
  </w:style>
  <w:style w:type="paragraph" w:customStyle="1" w:styleId="57">
    <w:name w:val="样式 标题 1 + 黑体 三号 段前: 6 磅 段后: 6 磅 行距: 多倍行距 1.75 字行1"/>
    <w:basedOn w:val="2"/>
    <w:qFormat/>
    <w:uiPriority w:val="0"/>
    <w:pPr>
      <w:numPr>
        <w:numId w:val="0"/>
      </w:numPr>
      <w:spacing w:before="120" w:after="120" w:line="420" w:lineRule="auto"/>
    </w:pPr>
    <w:rPr>
      <w:rFonts w:ascii="黑体" w:cs="宋体"/>
      <w:szCs w:val="20"/>
    </w:rPr>
  </w:style>
  <w:style w:type="paragraph" w:customStyle="1" w:styleId="58">
    <w:name w:val="Char2"/>
    <w:basedOn w:val="1"/>
    <w:qFormat/>
    <w:uiPriority w:val="0"/>
    <w:pPr>
      <w:adjustRightInd/>
      <w:spacing w:line="240" w:lineRule="auto"/>
      <w:ind w:firstLine="0" w:firstLineChars="0"/>
    </w:pPr>
    <w:rPr>
      <w:rFonts w:ascii="Tahoma" w:hAnsi="Tahoma" w:eastAsia="宋体"/>
      <w:sz w:val="24"/>
      <w:szCs w:val="20"/>
    </w:rPr>
  </w:style>
  <w:style w:type="paragraph" w:customStyle="1" w:styleId="59">
    <w:name w:val="font1"/>
    <w:basedOn w:val="1"/>
    <w:qFormat/>
    <w:uiPriority w:val="0"/>
    <w:pPr>
      <w:widowControl/>
      <w:adjustRightInd/>
      <w:spacing w:before="100" w:beforeAutospacing="1" w:after="100" w:afterAutospacing="1" w:line="240" w:lineRule="auto"/>
      <w:ind w:firstLine="0" w:firstLineChars="0"/>
      <w:jc w:val="left"/>
    </w:pPr>
    <w:rPr>
      <w:rFonts w:ascii="宋体" w:hAnsi="宋体" w:eastAsia="宋体" w:cs="宋体"/>
      <w:kern w:val="0"/>
      <w:sz w:val="24"/>
    </w:rPr>
  </w:style>
  <w:style w:type="paragraph" w:customStyle="1" w:styleId="60">
    <w:name w:val="Char1"/>
    <w:basedOn w:val="1"/>
    <w:qFormat/>
    <w:uiPriority w:val="0"/>
    <w:pPr>
      <w:tabs>
        <w:tab w:val="left" w:pos="432"/>
      </w:tabs>
      <w:adjustRightInd/>
      <w:snapToGrid w:val="0"/>
      <w:ind w:left="432" w:hanging="432" w:firstLineChars="0"/>
    </w:pPr>
    <w:rPr>
      <w:rFonts w:cs="宋体"/>
      <w:sz w:val="24"/>
    </w:rPr>
  </w:style>
  <w:style w:type="paragraph" w:customStyle="1" w:styleId="61">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宋体" w:hAnsi="宋体" w:eastAsia="宋体" w:cs="宋体"/>
      <w:kern w:val="0"/>
      <w:sz w:val="18"/>
      <w:szCs w:val="18"/>
    </w:rPr>
  </w:style>
  <w:style w:type="paragraph" w:customStyle="1" w:styleId="62">
    <w:name w:val="xl8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宋体" w:hAnsi="宋体" w:eastAsia="宋体" w:cs="宋体"/>
      <w:kern w:val="0"/>
      <w:sz w:val="18"/>
      <w:szCs w:val="18"/>
    </w:rPr>
  </w:style>
  <w:style w:type="paragraph" w:customStyle="1" w:styleId="63">
    <w:name w:val="font7"/>
    <w:basedOn w:val="1"/>
    <w:qFormat/>
    <w:uiPriority w:val="0"/>
    <w:pPr>
      <w:widowControl/>
      <w:adjustRightInd/>
      <w:spacing w:before="100" w:beforeAutospacing="1" w:after="100" w:afterAutospacing="1" w:line="240" w:lineRule="auto"/>
      <w:ind w:firstLine="0" w:firstLineChars="0"/>
      <w:jc w:val="left"/>
    </w:pPr>
    <w:rPr>
      <w:rFonts w:ascii="仿宋_GB2312" w:hAnsi="宋体" w:cs="宋体"/>
      <w:color w:val="FF0000"/>
      <w:kern w:val="0"/>
      <w:sz w:val="18"/>
      <w:szCs w:val="18"/>
    </w:rPr>
  </w:style>
  <w:style w:type="paragraph" w:customStyle="1" w:styleId="64">
    <w:name w:val="表格名称"/>
    <w:basedOn w:val="1"/>
    <w:qFormat/>
    <w:uiPriority w:val="0"/>
    <w:pPr>
      <w:adjustRightInd/>
      <w:spacing w:beforeLines="50"/>
      <w:ind w:firstLine="0" w:firstLineChars="0"/>
      <w:jc w:val="center"/>
    </w:pPr>
    <w:rPr>
      <w:kern w:val="0"/>
      <w:sz w:val="24"/>
      <w:szCs w:val="20"/>
    </w:rPr>
  </w:style>
  <w:style w:type="paragraph" w:customStyle="1" w:styleId="65">
    <w:name w:val="xl86"/>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66">
    <w:name w:val="xl85"/>
    <w:basedOn w:val="1"/>
    <w:qFormat/>
    <w:uiPriority w:val="0"/>
    <w:pPr>
      <w:widowControl/>
      <w:pBdr>
        <w:top w:val="single" w:color="auto" w:sz="4" w:space="0"/>
        <w:left w:val="single" w:color="auto" w:sz="4" w:space="0"/>
        <w:bottom w:val="single" w:color="auto" w:sz="4" w:space="0"/>
      </w:pBdr>
      <w:shd w:val="clear" w:color="000000" w:fill="FFFF99"/>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67">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99"/>
      <w:adjustRightIn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68">
    <w:name w:val="xl80"/>
    <w:basedOn w:val="1"/>
    <w:qFormat/>
    <w:uiPriority w:val="0"/>
    <w:pPr>
      <w:widowControl/>
      <w:pBdr>
        <w:top w:val="single" w:color="auto" w:sz="4" w:space="0"/>
        <w:bottom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69">
    <w:name w:val="xl73"/>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70">
    <w:name w:val="默认段落字体 Para Char"/>
    <w:basedOn w:val="1"/>
    <w:qFormat/>
    <w:uiPriority w:val="0"/>
    <w:pPr>
      <w:adjustRightInd/>
      <w:spacing w:line="240" w:lineRule="auto"/>
      <w:ind w:firstLine="0" w:firstLineChars="0"/>
    </w:pPr>
    <w:rPr>
      <w:rFonts w:eastAsia="宋体"/>
      <w:sz w:val="21"/>
    </w:rPr>
  </w:style>
  <w:style w:type="paragraph" w:customStyle="1" w:styleId="71">
    <w:name w:val="xl92"/>
    <w:basedOn w:val="1"/>
    <w:qFormat/>
    <w:uiPriority w:val="0"/>
    <w:pPr>
      <w:widowControl/>
      <w:pBdr>
        <w:bottom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72">
    <w:name w:val="xl84"/>
    <w:basedOn w:val="1"/>
    <w:qFormat/>
    <w:uiPriority w:val="0"/>
    <w:pPr>
      <w:widowControl/>
      <w:pBdr>
        <w:top w:val="single" w:color="auto" w:sz="4" w:space="0"/>
        <w:bottom w:val="single" w:color="auto" w:sz="4" w:space="0"/>
        <w:right w:val="single" w:color="auto" w:sz="4" w:space="0"/>
      </w:pBdr>
      <w:shd w:val="clear" w:color="000000" w:fill="FFFF99"/>
      <w:adjustRightIn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73">
    <w:name w:val="xl91"/>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74">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75">
    <w:name w:val="xl76"/>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76">
    <w:name w:val="Char2 Char Char1 Char Char Char Char Char Char Char Char Char Char"/>
    <w:basedOn w:val="6"/>
    <w:qFormat/>
    <w:uiPriority w:val="0"/>
    <w:pPr>
      <w:widowControl/>
      <w:numPr>
        <w:ilvl w:val="0"/>
        <w:numId w:val="0"/>
      </w:numPr>
      <w:adjustRightInd/>
      <w:spacing w:after="160" w:line="240" w:lineRule="exact"/>
      <w:jc w:val="left"/>
    </w:pPr>
    <w:rPr>
      <w:rFonts w:eastAsia="宋体"/>
      <w:bCs w:val="0"/>
      <w:kern w:val="44"/>
      <w:szCs w:val="20"/>
    </w:rPr>
  </w:style>
  <w:style w:type="paragraph" w:customStyle="1" w:styleId="77">
    <w:name w:val="font8"/>
    <w:basedOn w:val="1"/>
    <w:qFormat/>
    <w:uiPriority w:val="0"/>
    <w:pPr>
      <w:widowControl/>
      <w:adjustRightInd/>
      <w:spacing w:before="100" w:beforeAutospacing="1" w:after="100" w:afterAutospacing="1" w:line="240" w:lineRule="auto"/>
      <w:ind w:firstLine="0" w:firstLineChars="0"/>
      <w:jc w:val="left"/>
    </w:pPr>
    <w:rPr>
      <w:rFonts w:ascii="宋体" w:hAnsi="宋体" w:eastAsia="宋体" w:cs="宋体"/>
      <w:color w:val="000000"/>
      <w:kern w:val="0"/>
      <w:sz w:val="18"/>
      <w:szCs w:val="18"/>
    </w:rPr>
  </w:style>
  <w:style w:type="paragraph" w:customStyle="1" w:styleId="7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 w:hAnsi="仿宋" w:eastAsia="仿宋" w:cs="宋体"/>
      <w:kern w:val="0"/>
      <w:sz w:val="18"/>
      <w:szCs w:val="18"/>
    </w:rPr>
  </w:style>
  <w:style w:type="paragraph" w:customStyle="1" w:styleId="79">
    <w:name w:val="xl90"/>
    <w:basedOn w:val="1"/>
    <w:qFormat/>
    <w:uiPriority w:val="0"/>
    <w:pPr>
      <w:widowControl/>
      <w:pBdr>
        <w:left w:val="single" w:color="auto" w:sz="4" w:space="0"/>
        <w:right w:val="single" w:color="auto" w:sz="4" w:space="0"/>
      </w:pBdr>
      <w:shd w:val="clear" w:color="000000" w:fill="FFFF99"/>
      <w:adjustRightInd/>
      <w:spacing w:before="100" w:beforeAutospacing="1" w:after="100" w:afterAutospacing="1" w:line="240" w:lineRule="auto"/>
      <w:ind w:firstLine="0" w:firstLineChars="0"/>
      <w:jc w:val="center"/>
    </w:pPr>
    <w:rPr>
      <w:rFonts w:ascii="宋体" w:hAnsi="宋体" w:eastAsia="宋体" w:cs="宋体"/>
      <w:b/>
      <w:bCs/>
      <w:kern w:val="0"/>
      <w:sz w:val="20"/>
      <w:szCs w:val="20"/>
    </w:rPr>
  </w:style>
  <w:style w:type="paragraph" w:customStyle="1" w:styleId="80">
    <w:name w:val="Char1 Char Char Char Char Char Char1"/>
    <w:basedOn w:val="1"/>
    <w:semiHidden/>
    <w:qFormat/>
    <w:uiPriority w:val="0"/>
    <w:pPr>
      <w:adjustRightInd/>
      <w:spacing w:line="240" w:lineRule="auto"/>
      <w:ind w:firstLine="0" w:firstLineChars="0"/>
    </w:pPr>
    <w:rPr>
      <w:rFonts w:ascii="Tahoma" w:hAnsi="Tahoma" w:eastAsia="宋体"/>
      <w:sz w:val="24"/>
      <w:szCs w:val="20"/>
    </w:rPr>
  </w:style>
  <w:style w:type="paragraph" w:customStyle="1" w:styleId="81">
    <w:name w:val="TOC 标题1"/>
    <w:basedOn w:val="2"/>
    <w:next w:val="1"/>
    <w:unhideWhenUsed/>
    <w:qFormat/>
    <w:uiPriority w:val="39"/>
    <w:pPr>
      <w:widowControl/>
      <w:numPr>
        <w:numId w:val="0"/>
      </w:numPr>
      <w:spacing w:before="480" w:after="0" w:line="276" w:lineRule="auto"/>
      <w:jc w:val="left"/>
      <w:outlineLvl w:val="9"/>
    </w:pPr>
    <w:rPr>
      <w:rFonts w:ascii="Cambria" w:hAnsi="Cambria" w:eastAsia="宋体"/>
      <w:color w:val="365F91"/>
      <w:kern w:val="0"/>
      <w:sz w:val="28"/>
      <w:szCs w:val="28"/>
    </w:rPr>
  </w:style>
  <w:style w:type="paragraph" w:customStyle="1" w:styleId="82">
    <w:name w:val="font5"/>
    <w:basedOn w:val="1"/>
    <w:qFormat/>
    <w:uiPriority w:val="0"/>
    <w:pPr>
      <w:widowControl/>
      <w:adjustRightInd/>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83">
    <w:name w:val="样式1"/>
    <w:basedOn w:val="1"/>
    <w:qFormat/>
    <w:uiPriority w:val="0"/>
    <w:pPr>
      <w:snapToGrid w:val="0"/>
      <w:spacing w:beforeLines="100" w:line="288" w:lineRule="auto"/>
      <w:ind w:firstLine="0" w:firstLineChars="0"/>
      <w:jc w:val="center"/>
      <w:textAlignment w:val="baseline"/>
    </w:pPr>
    <w:rPr>
      <w:rFonts w:ascii="宋体" w:hAnsi="宋体"/>
      <w:b/>
      <w:kern w:val="28"/>
      <w:sz w:val="24"/>
      <w:szCs w:val="20"/>
    </w:rPr>
  </w:style>
  <w:style w:type="paragraph" w:customStyle="1" w:styleId="84">
    <w:name w:val="xl68"/>
    <w:basedOn w:val="1"/>
    <w:qFormat/>
    <w:uiPriority w:val="0"/>
    <w:pPr>
      <w:widowControl/>
      <w:adjustRightInd/>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85">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color w:val="FF0000"/>
      <w:kern w:val="0"/>
      <w:sz w:val="18"/>
      <w:szCs w:val="18"/>
    </w:rPr>
  </w:style>
  <w:style w:type="paragraph" w:customStyle="1" w:styleId="8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87">
    <w:name w:val="xl82"/>
    <w:basedOn w:val="1"/>
    <w:qFormat/>
    <w:uiPriority w:val="0"/>
    <w:pPr>
      <w:widowControl/>
      <w:pBdr>
        <w:top w:val="single" w:color="auto" w:sz="4" w:space="0"/>
        <w:lef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88">
    <w:name w:val="Char"/>
    <w:basedOn w:val="1"/>
    <w:qFormat/>
    <w:uiPriority w:val="0"/>
    <w:pPr>
      <w:adjustRightInd/>
      <w:spacing w:line="240" w:lineRule="auto"/>
      <w:ind w:firstLine="0" w:firstLineChars="0"/>
    </w:pPr>
    <w:rPr>
      <w:rFonts w:ascii="Tahoma" w:hAnsi="Tahoma" w:eastAsia="宋体"/>
      <w:sz w:val="24"/>
      <w:szCs w:val="20"/>
    </w:rPr>
  </w:style>
  <w:style w:type="paragraph" w:customStyle="1" w:styleId="8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99"/>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90">
    <w:name w:val="xl66"/>
    <w:basedOn w:val="1"/>
    <w:qFormat/>
    <w:uiPriority w:val="0"/>
    <w:pPr>
      <w:widowControl/>
      <w:adjustRightInd/>
      <w:spacing w:before="100" w:beforeAutospacing="1" w:after="100" w:afterAutospacing="1" w:line="240" w:lineRule="auto"/>
      <w:ind w:firstLine="0" w:firstLineChars="0"/>
      <w:jc w:val="center"/>
    </w:pPr>
    <w:rPr>
      <w:rFonts w:ascii="宋体" w:hAnsi="宋体" w:eastAsia="宋体" w:cs="宋体"/>
      <w:kern w:val="0"/>
      <w:sz w:val="18"/>
      <w:szCs w:val="18"/>
    </w:rPr>
  </w:style>
  <w:style w:type="paragraph" w:customStyle="1" w:styleId="91">
    <w:name w:val="列出段落1"/>
    <w:basedOn w:val="1"/>
    <w:qFormat/>
    <w:uiPriority w:val="0"/>
    <w:pPr>
      <w:ind w:firstLine="420"/>
    </w:pPr>
  </w:style>
  <w:style w:type="paragraph" w:customStyle="1" w:styleId="92">
    <w:name w:val="xl87"/>
    <w:basedOn w:val="1"/>
    <w:qFormat/>
    <w:uiPriority w:val="0"/>
    <w:pPr>
      <w:widowControl/>
      <w:pBdr>
        <w:top w:val="single" w:color="auto" w:sz="4" w:space="0"/>
        <w:right w:val="single" w:color="auto" w:sz="4" w:space="0"/>
      </w:pBdr>
      <w:adjustRightIn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93">
    <w:name w:val="xl7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color w:val="FF0000"/>
      <w:kern w:val="0"/>
      <w:sz w:val="18"/>
      <w:szCs w:val="18"/>
    </w:rPr>
  </w:style>
  <w:style w:type="paragraph" w:customStyle="1" w:styleId="94">
    <w:name w:val="font6"/>
    <w:basedOn w:val="1"/>
    <w:qFormat/>
    <w:uiPriority w:val="0"/>
    <w:pPr>
      <w:widowControl/>
      <w:adjustRightInd/>
      <w:spacing w:before="100" w:beforeAutospacing="1" w:after="100" w:afterAutospacing="1" w:line="240" w:lineRule="auto"/>
      <w:ind w:firstLine="0" w:firstLineChars="0"/>
      <w:jc w:val="left"/>
    </w:pPr>
    <w:rPr>
      <w:rFonts w:ascii="仿宋_GB2312" w:hAnsi="宋体" w:cs="宋体"/>
      <w:kern w:val="0"/>
      <w:sz w:val="18"/>
      <w:szCs w:val="18"/>
    </w:rPr>
  </w:style>
  <w:style w:type="paragraph" w:customStyle="1" w:styleId="95">
    <w:name w:val="Char1 Char Char Char Char Char Char"/>
    <w:basedOn w:val="1"/>
    <w:semiHidden/>
    <w:qFormat/>
    <w:uiPriority w:val="0"/>
    <w:pPr>
      <w:adjustRightInd/>
      <w:spacing w:line="240" w:lineRule="auto"/>
      <w:ind w:firstLine="0" w:firstLineChars="0"/>
    </w:pPr>
    <w:rPr>
      <w:rFonts w:ascii="Tahoma" w:hAnsi="Tahoma" w:eastAsia="宋体"/>
      <w:sz w:val="24"/>
      <w:szCs w:val="20"/>
    </w:rPr>
  </w:style>
  <w:style w:type="paragraph" w:customStyle="1" w:styleId="96">
    <w:name w:val="xl88"/>
    <w:basedOn w:val="1"/>
    <w:qFormat/>
    <w:uiPriority w:val="0"/>
    <w:pPr>
      <w:widowControl/>
      <w:pBdr>
        <w:right w:val="single" w:color="auto" w:sz="4" w:space="0"/>
      </w:pBdr>
      <w:adjustRightInd/>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97">
    <w:name w:val="xl93"/>
    <w:basedOn w:val="1"/>
    <w:qFormat/>
    <w:uiPriority w:val="0"/>
    <w:pPr>
      <w:widowControl/>
      <w:pBdr>
        <w:bottom w:val="single" w:color="auto" w:sz="4" w:space="0"/>
        <w:right w:val="single" w:color="auto" w:sz="4" w:space="0"/>
      </w:pBdr>
      <w:adjustRightInd/>
      <w:spacing w:before="100" w:beforeAutospacing="1" w:after="100" w:afterAutospacing="1" w:line="240" w:lineRule="auto"/>
      <w:ind w:firstLine="0" w:firstLineChars="0"/>
      <w:jc w:val="center"/>
    </w:pPr>
    <w:rPr>
      <w:rFonts w:ascii="仿宋_GB2312" w:hAnsi="宋体" w:cs="宋体"/>
      <w:kern w:val="0"/>
      <w:sz w:val="18"/>
      <w:szCs w:val="18"/>
    </w:rPr>
  </w:style>
  <w:style w:type="paragraph" w:customStyle="1" w:styleId="98">
    <w:name w:val="列出段落2"/>
    <w:basedOn w:val="1"/>
    <w:qFormat/>
    <w:uiPriority w:val="99"/>
    <w:pPr>
      <w:ind w:firstLine="420"/>
    </w:pPr>
  </w:style>
  <w:style w:type="character" w:customStyle="1" w:styleId="99">
    <w:name w:val="纯文本 Char"/>
    <w:basedOn w:val="34"/>
    <w:link w:val="19"/>
    <w:qFormat/>
    <w:uiPriority w:val="0"/>
    <w:rPr>
      <w:rFonts w:ascii="宋体" w:hAnsi="Courier New" w:cs="Courier New"/>
      <w:kern w:val="2"/>
      <w:sz w:val="21"/>
      <w:szCs w:val="21"/>
    </w:rPr>
  </w:style>
  <w:style w:type="paragraph" w:customStyle="1" w:styleId="100">
    <w:name w:val="！正文"/>
    <w:basedOn w:val="1"/>
    <w:qFormat/>
    <w:uiPriority w:val="0"/>
    <w:pPr>
      <w:spacing w:beforeLines="50" w:afterLines="50"/>
      <w:ind w:firstLine="480"/>
    </w:pPr>
    <w:rPr>
      <w:rFonts w:ascii="宋体" w:hAnsi="宋体"/>
      <w:sz w:val="24"/>
    </w:rPr>
  </w:style>
  <w:style w:type="paragraph" w:customStyle="1" w:styleId="101">
    <w:name w:val="列出段落3"/>
    <w:basedOn w:val="1"/>
    <w:qFormat/>
    <w:uiPriority w:val="0"/>
    <w:pPr>
      <w:ind w:firstLine="420"/>
    </w:pPr>
  </w:style>
  <w:style w:type="character" w:customStyle="1" w:styleId="102">
    <w:name w:val="font01"/>
    <w:basedOn w:val="34"/>
    <w:qFormat/>
    <w:uiPriority w:val="0"/>
    <w:rPr>
      <w:rFonts w:hint="eastAsia" w:ascii="微软雅黑" w:hAnsi="微软雅黑" w:eastAsia="微软雅黑" w:cs="微软雅黑"/>
      <w:color w:val="000000"/>
      <w:sz w:val="16"/>
      <w:szCs w:val="16"/>
      <w:u w:val="none"/>
    </w:rPr>
  </w:style>
  <w:style w:type="paragraph" w:customStyle="1" w:styleId="103">
    <w:name w:val="Default"/>
    <w:unhideWhenUsed/>
    <w:qFormat/>
    <w:uiPriority w:val="99"/>
    <w:pPr>
      <w:widowControl w:val="0"/>
      <w:autoSpaceDE w:val="0"/>
      <w:autoSpaceDN w:val="0"/>
      <w:adjustRightInd w:val="0"/>
    </w:pPr>
    <w:rPr>
      <w:rFonts w:ascii="宋体" w:hAnsi="宋体" w:eastAsia="宋体" w:cstheme="minorBidi"/>
      <w:color w:val="000000"/>
      <w:sz w:val="24"/>
      <w:lang w:val="en-US" w:eastAsia="zh-CN" w:bidi="ar-SA"/>
    </w:rPr>
  </w:style>
  <w:style w:type="table" w:customStyle="1" w:styleId="104">
    <w:name w:val="网格型3"/>
    <w:basedOn w:val="32"/>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5">
    <w:name w:val="font21"/>
    <w:basedOn w:val="34"/>
    <w:qFormat/>
    <w:uiPriority w:val="0"/>
    <w:rPr>
      <w:rFonts w:hint="eastAsia" w:ascii="宋体" w:hAnsi="宋体" w:eastAsia="宋体" w:cs="宋体"/>
      <w:b/>
      <w:bCs/>
      <w:color w:val="000000"/>
      <w:sz w:val="22"/>
      <w:szCs w:val="22"/>
      <w:u w:val="none"/>
    </w:rPr>
  </w:style>
  <w:style w:type="paragraph" w:customStyle="1" w:styleId="106">
    <w:name w:val="new_正文"/>
    <w:basedOn w:val="1"/>
    <w:qFormat/>
    <w:uiPriority w:val="0"/>
    <w:pPr>
      <w:snapToGrid w:val="0"/>
      <w:ind w:firstLine="560"/>
    </w:pPr>
    <w:rPr>
      <w:rFonts w:ascii="宋体" w:hAnsi="宋体"/>
      <w:kern w:val="0"/>
      <w:szCs w:val="28"/>
    </w:rPr>
  </w:style>
  <w:style w:type="paragraph" w:customStyle="1" w:styleId="107">
    <w:name w:val="三级"/>
    <w:basedOn w:val="26"/>
    <w:qFormat/>
    <w:uiPriority w:val="0"/>
    <w:pPr>
      <w:numPr>
        <w:ilvl w:val="2"/>
        <w:numId w:val="2"/>
      </w:numPr>
      <w:ind w:firstLineChars="0"/>
    </w:pPr>
    <w:rPr>
      <w:sz w:val="30"/>
    </w:rPr>
  </w:style>
  <w:style w:type="character" w:customStyle="1" w:styleId="108">
    <w:name w:val="font41"/>
    <w:basedOn w:val="34"/>
    <w:qFormat/>
    <w:uiPriority w:val="0"/>
    <w:rPr>
      <w:rFonts w:hint="eastAsia" w:ascii="仿宋" w:hAnsi="仿宋" w:eastAsia="仿宋" w:cs="仿宋"/>
      <w:color w:val="000000"/>
      <w:sz w:val="28"/>
      <w:szCs w:val="28"/>
      <w:u w:val="none"/>
    </w:rPr>
  </w:style>
  <w:style w:type="character" w:customStyle="1" w:styleId="109">
    <w:name w:val="font31"/>
    <w:basedOn w:val="34"/>
    <w:qFormat/>
    <w:uiPriority w:val="0"/>
    <w:rPr>
      <w:rFonts w:hint="eastAsia" w:ascii="宋体" w:hAnsi="宋体" w:eastAsia="宋体" w:cs="宋体"/>
      <w:color w:val="000000"/>
      <w:sz w:val="20"/>
      <w:szCs w:val="20"/>
      <w:u w:val="none"/>
    </w:rPr>
  </w:style>
  <w:style w:type="character" w:customStyle="1" w:styleId="110">
    <w:name w:val="font61"/>
    <w:basedOn w:val="34"/>
    <w:qFormat/>
    <w:uiPriority w:val="0"/>
    <w:rPr>
      <w:rFonts w:ascii="黑体" w:hAnsi="宋体" w:eastAsia="黑体" w:cs="黑体"/>
      <w:color w:val="000000"/>
      <w:sz w:val="21"/>
      <w:szCs w:val="21"/>
      <w:u w:val="none"/>
    </w:rPr>
  </w:style>
  <w:style w:type="character" w:customStyle="1" w:styleId="111">
    <w:name w:val="font71"/>
    <w:basedOn w:val="34"/>
    <w:qFormat/>
    <w:uiPriority w:val="0"/>
    <w:rPr>
      <w:rFonts w:hint="default" w:ascii="华文中宋" w:hAnsi="华文中宋" w:eastAsia="华文中宋" w:cs="华文中宋"/>
      <w:color w:val="000000"/>
      <w:sz w:val="21"/>
      <w:szCs w:val="21"/>
      <w:u w:val="none"/>
    </w:rPr>
  </w:style>
  <w:style w:type="character" w:customStyle="1" w:styleId="112">
    <w:name w:val="font141"/>
    <w:basedOn w:val="34"/>
    <w:qFormat/>
    <w:uiPriority w:val="0"/>
    <w:rPr>
      <w:rFonts w:hint="default" w:ascii="华文中宋" w:hAnsi="华文中宋" w:eastAsia="华文中宋" w:cs="华文中宋"/>
      <w:color w:val="0000FF"/>
      <w:sz w:val="21"/>
      <w:szCs w:val="21"/>
      <w:u w:val="none"/>
    </w:rPr>
  </w:style>
  <w:style w:type="character" w:customStyle="1" w:styleId="113">
    <w:name w:val="font81"/>
    <w:basedOn w:val="34"/>
    <w:qFormat/>
    <w:uiPriority w:val="0"/>
    <w:rPr>
      <w:rFonts w:hint="default" w:ascii="Times New Roman" w:hAnsi="Times New Roman" w:cs="Times New Roman"/>
      <w:color w:val="0000FF"/>
      <w:sz w:val="21"/>
      <w:szCs w:val="21"/>
      <w:u w:val="none"/>
    </w:rPr>
  </w:style>
  <w:style w:type="character" w:customStyle="1" w:styleId="114">
    <w:name w:val="font51"/>
    <w:basedOn w:val="34"/>
    <w:qFormat/>
    <w:uiPriority w:val="0"/>
    <w:rPr>
      <w:rFonts w:hint="default" w:ascii="Times New Roman" w:hAnsi="Times New Roman" w:cs="Times New Roman"/>
      <w:color w:val="000000"/>
      <w:sz w:val="21"/>
      <w:szCs w:val="21"/>
      <w:u w:val="none"/>
    </w:rPr>
  </w:style>
  <w:style w:type="character" w:customStyle="1" w:styleId="115">
    <w:name w:val="font101"/>
    <w:basedOn w:val="34"/>
    <w:qFormat/>
    <w:uiPriority w:val="0"/>
    <w:rPr>
      <w:rFonts w:hint="default" w:ascii="Times New Roman" w:hAnsi="Times New Roman" w:cs="Times New Roman"/>
      <w:color w:val="000000"/>
      <w:sz w:val="21"/>
      <w:szCs w:val="21"/>
      <w:u w:val="none"/>
    </w:rPr>
  </w:style>
  <w:style w:type="character" w:customStyle="1" w:styleId="116">
    <w:name w:val="font112"/>
    <w:basedOn w:val="34"/>
    <w:qFormat/>
    <w:uiPriority w:val="0"/>
    <w:rPr>
      <w:rFonts w:hint="default" w:ascii="华文中宋" w:hAnsi="华文中宋" w:eastAsia="华文中宋" w:cs="华文中宋"/>
      <w:color w:val="000000"/>
      <w:sz w:val="21"/>
      <w:szCs w:val="21"/>
      <w:u w:val="none"/>
    </w:rPr>
  </w:style>
  <w:style w:type="character" w:customStyle="1" w:styleId="117">
    <w:name w:val="font121"/>
    <w:basedOn w:val="34"/>
    <w:qFormat/>
    <w:uiPriority w:val="0"/>
    <w:rPr>
      <w:rFonts w:hint="default" w:ascii="Times New Roman" w:hAnsi="Times New Roman" w:cs="Times New Roman"/>
      <w:color w:val="FF0000"/>
      <w:sz w:val="21"/>
      <w:szCs w:val="21"/>
      <w:u w:val="none"/>
    </w:rPr>
  </w:style>
  <w:style w:type="character" w:customStyle="1" w:styleId="118">
    <w:name w:val="font131"/>
    <w:basedOn w:val="34"/>
    <w:qFormat/>
    <w:uiPriority w:val="0"/>
    <w:rPr>
      <w:rFonts w:hint="default" w:ascii="华文中宋" w:hAnsi="华文中宋" w:eastAsia="华文中宋" w:cs="华文中宋"/>
      <w:color w:val="FF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jujumao</Company>
  <Pages>55</Pages>
  <Words>22279</Words>
  <Characters>23904</Characters>
  <Lines>194</Lines>
  <Paragraphs>54</Paragraphs>
  <TotalTime>0</TotalTime>
  <ScaleCrop>false</ScaleCrop>
  <LinksUpToDate>false</LinksUpToDate>
  <CharactersWithSpaces>24019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2025-12-15T07:54:00Z</dcterms:created>
  <dc:creator>user</dc:creator>
  <cp:lastModifiedBy>汪洁</cp:lastModifiedBy>
  <cp:lastPrinted>2021-12-12T11:59:00Z</cp:lastPrinted>
  <dcterms:modified xsi:type="dcterms:W3CDTF">2026-09-28T03:52:56Z</dcterms:modified>
  <dc:title>liuliang</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5D0A8B83D7944371897BF199A2E36E14_13</vt:lpwstr>
  </property>
  <property fmtid="{D5CDD505-2E9C-101B-9397-08002B2CF9AE}" pid="4" name="KSOTemplateDocerSaveRecord">
    <vt:lpwstr>eyJoZGlkIjoiYThhNWNiN2NlZjZhNWM5NjJjY2YwNDUzOTBiMDI5ZjQiLCJ1c2VySWQiOiI0NjcxNjc5MTYifQ==</vt:lpwstr>
  </property>
</Properties>
</file>