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6" w:lineRule="auto"/>
      </w:pPr>
    </w:p>
    <w:p>
      <w:pPr>
        <w:pStyle w:val="2"/>
        <w:spacing w:line="247" w:lineRule="auto"/>
      </w:pPr>
    </w:p>
    <w:p>
      <w:pPr>
        <w:spacing w:before="133" w:line="209" w:lineRule="auto"/>
        <w:ind w:left="2110"/>
        <w:rPr>
          <w:rFonts w:ascii="宋体" w:hAnsi="宋体" w:eastAsia="宋体" w:cs="宋体"/>
          <w:sz w:val="41"/>
          <w:szCs w:val="41"/>
        </w:rPr>
      </w:pPr>
      <w:bookmarkStart w:id="0" w:name="OLE_LINK1"/>
      <w:r>
        <w:rPr>
          <w:rFonts w:ascii="宋体" w:hAnsi="宋体" w:eastAsia="宋体" w:cs="宋体"/>
          <w:b/>
          <w:bCs/>
          <w:spacing w:val="-4"/>
          <w:sz w:val="41"/>
          <w:szCs w:val="41"/>
        </w:rPr>
        <w:t>六安市叶集区2026年省定30项民生实事项</w:t>
      </w:r>
      <w:r>
        <w:rPr>
          <w:rFonts w:ascii="宋体" w:hAnsi="宋体" w:eastAsia="宋体" w:cs="宋体"/>
          <w:b/>
          <w:bCs/>
          <w:spacing w:val="-5"/>
          <w:sz w:val="41"/>
          <w:szCs w:val="41"/>
        </w:rPr>
        <w:t>目清单</w:t>
      </w:r>
    </w:p>
    <w:tbl>
      <w:tblPr>
        <w:tblStyle w:val="5"/>
        <w:tblW w:w="12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359"/>
        <w:gridCol w:w="2738"/>
        <w:gridCol w:w="7074"/>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74" w:type="dxa"/>
            <w:vAlign w:val="top"/>
          </w:tcPr>
          <w:p>
            <w:pPr>
              <w:pStyle w:val="6"/>
              <w:spacing w:before="245" w:line="221" w:lineRule="auto"/>
              <w:ind w:left="104"/>
            </w:pPr>
            <w:r>
              <w:rPr>
                <w:spacing w:val="6"/>
              </w:rPr>
              <w:t>序号</w:t>
            </w:r>
          </w:p>
        </w:tc>
        <w:tc>
          <w:tcPr>
            <w:tcW w:w="1359" w:type="dxa"/>
            <w:vAlign w:val="top"/>
          </w:tcPr>
          <w:p>
            <w:pPr>
              <w:pStyle w:val="6"/>
              <w:spacing w:before="242" w:line="219" w:lineRule="auto"/>
              <w:ind w:left="251"/>
            </w:pPr>
            <w:r>
              <w:rPr>
                <w:spacing w:val="-2"/>
              </w:rPr>
              <w:t>牵头单位</w:t>
            </w:r>
          </w:p>
        </w:tc>
        <w:tc>
          <w:tcPr>
            <w:tcW w:w="2738" w:type="dxa"/>
            <w:vAlign w:val="top"/>
          </w:tcPr>
          <w:p>
            <w:pPr>
              <w:pStyle w:val="6"/>
              <w:spacing w:before="244" w:line="219" w:lineRule="auto"/>
              <w:ind w:left="621"/>
            </w:pPr>
            <w:r>
              <w:rPr>
                <w:spacing w:val="-15"/>
              </w:rPr>
              <w:t>实</w:t>
            </w:r>
            <w:r>
              <w:rPr>
                <w:spacing w:val="108"/>
              </w:rPr>
              <w:t xml:space="preserve"> </w:t>
            </w:r>
            <w:r>
              <w:rPr>
                <w:spacing w:val="-15"/>
              </w:rPr>
              <w:t>施</w:t>
            </w:r>
            <w:r>
              <w:rPr>
                <w:spacing w:val="11"/>
              </w:rPr>
              <w:t xml:space="preserve">  </w:t>
            </w:r>
            <w:r>
              <w:rPr>
                <w:spacing w:val="-15"/>
              </w:rPr>
              <w:t>内</w:t>
            </w:r>
            <w:r>
              <w:rPr>
                <w:spacing w:val="111"/>
              </w:rPr>
              <w:t xml:space="preserve"> </w:t>
            </w:r>
            <w:r>
              <w:rPr>
                <w:spacing w:val="-15"/>
              </w:rPr>
              <w:t>容</w:t>
            </w:r>
          </w:p>
        </w:tc>
        <w:tc>
          <w:tcPr>
            <w:tcW w:w="7074" w:type="dxa"/>
            <w:vAlign w:val="top"/>
          </w:tcPr>
          <w:p>
            <w:pPr>
              <w:pStyle w:val="6"/>
              <w:spacing w:before="244" w:line="220" w:lineRule="auto"/>
              <w:ind w:left="2813"/>
            </w:pPr>
            <w:r>
              <w:rPr>
                <w:spacing w:val="-5"/>
              </w:rPr>
              <w:t>推  进</w:t>
            </w:r>
            <w:r>
              <w:rPr>
                <w:spacing w:val="3"/>
              </w:rPr>
              <w:t xml:space="preserve">  </w:t>
            </w:r>
            <w:r>
              <w:rPr>
                <w:spacing w:val="-5"/>
              </w:rPr>
              <w:t>措</w:t>
            </w:r>
            <w:r>
              <w:t xml:space="preserve">  </w:t>
            </w:r>
            <w:r>
              <w:rPr>
                <w:spacing w:val="-5"/>
              </w:rPr>
              <w:t>施</w:t>
            </w:r>
          </w:p>
        </w:tc>
        <w:tc>
          <w:tcPr>
            <w:tcW w:w="1084" w:type="dxa"/>
            <w:vAlign w:val="top"/>
          </w:tcPr>
          <w:p>
            <w:pPr>
              <w:pStyle w:val="6"/>
              <w:spacing w:before="245" w:line="221" w:lineRule="auto"/>
              <w:ind w:left="249"/>
            </w:pPr>
            <w:r>
              <w:rPr>
                <w:spacing w:val="-6"/>
              </w:rPr>
              <w:t>备</w:t>
            </w:r>
            <w:r>
              <w:rPr>
                <w:spacing w:val="11"/>
              </w:rPr>
              <w:t xml:space="preserve"> </w:t>
            </w:r>
            <w:r>
              <w:rPr>
                <w:spacing w:val="-6"/>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5" w:hRule="atLeast"/>
        </w:trPr>
        <w:tc>
          <w:tcPr>
            <w:tcW w:w="674" w:type="dxa"/>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6"/>
              <w:spacing w:before="72" w:line="241" w:lineRule="auto"/>
              <w:ind w:left="275"/>
            </w:pPr>
            <w:r>
              <w:t>1</w:t>
            </w:r>
          </w:p>
        </w:tc>
        <w:tc>
          <w:tcPr>
            <w:tcW w:w="1359" w:type="dxa"/>
            <w:vAlign w:val="top"/>
          </w:tcPr>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71" w:line="219" w:lineRule="auto"/>
              <w:ind w:left="111"/>
            </w:pPr>
            <w:r>
              <w:rPr>
                <w:spacing w:val="4"/>
              </w:rPr>
              <w:t>区人社局</w:t>
            </w:r>
          </w:p>
        </w:tc>
        <w:tc>
          <w:tcPr>
            <w:tcW w:w="2738" w:type="dxa"/>
            <w:vAlign w:val="top"/>
          </w:tcPr>
          <w:p>
            <w:pPr>
              <w:spacing w:line="324" w:lineRule="auto"/>
              <w:rPr>
                <w:rFonts w:ascii="Arial"/>
                <w:sz w:val="21"/>
              </w:rPr>
            </w:pPr>
          </w:p>
          <w:p>
            <w:pPr>
              <w:spacing w:line="324" w:lineRule="auto"/>
              <w:rPr>
                <w:rFonts w:ascii="Arial"/>
                <w:sz w:val="21"/>
              </w:rPr>
            </w:pPr>
          </w:p>
          <w:p>
            <w:pPr>
              <w:pStyle w:val="6"/>
              <w:spacing w:before="72" w:line="271" w:lineRule="auto"/>
              <w:ind w:left="42"/>
            </w:pPr>
            <w:r>
              <w:rPr>
                <w:spacing w:val="-9"/>
              </w:rPr>
              <w:t>对符合条件的毕业生发放一</w:t>
            </w:r>
            <w:r>
              <w:t xml:space="preserve">  </w:t>
            </w:r>
            <w:r>
              <w:rPr>
                <w:spacing w:val="-11"/>
              </w:rPr>
              <w:t>次性求职补贴，建设街道(乡</w:t>
            </w:r>
            <w:r>
              <w:t xml:space="preserve"> </w:t>
            </w:r>
            <w:r>
              <w:rPr>
                <w:spacing w:val="-5"/>
              </w:rPr>
              <w:t>镇)“三公里”就业圈服务</w:t>
            </w:r>
            <w:r>
              <w:rPr>
                <w:spacing w:val="1"/>
              </w:rPr>
              <w:t xml:space="preserve">   </w:t>
            </w:r>
            <w:r>
              <w:rPr>
                <w:spacing w:val="-5"/>
              </w:rPr>
              <w:t>站1个，支持技工院校招收</w:t>
            </w:r>
            <w:r>
              <w:rPr>
                <w:spacing w:val="1"/>
              </w:rPr>
              <w:t xml:space="preserve">   </w:t>
            </w:r>
            <w:r>
              <w:rPr>
                <w:spacing w:val="3"/>
              </w:rPr>
              <w:t>“两后生”和适龄农民工、</w:t>
            </w:r>
            <w:r>
              <w:rPr>
                <w:spacing w:val="8"/>
              </w:rPr>
              <w:t xml:space="preserve"> </w:t>
            </w:r>
            <w:r>
              <w:rPr>
                <w:spacing w:val="-8"/>
              </w:rPr>
              <w:t>失业人员、未就业高校和职</w:t>
            </w:r>
            <w:r>
              <w:rPr>
                <w:spacing w:val="4"/>
              </w:rPr>
              <w:t xml:space="preserve">  </w:t>
            </w:r>
            <w:r>
              <w:rPr>
                <w:spacing w:val="-9"/>
              </w:rPr>
              <w:t>业学校毕业生等重点群体开</w:t>
            </w:r>
            <w:r>
              <w:t xml:space="preserve">  </w:t>
            </w:r>
            <w:r>
              <w:rPr>
                <w:spacing w:val="-4"/>
              </w:rPr>
              <w:t>展全日制系统技能培养。</w:t>
            </w:r>
          </w:p>
        </w:tc>
        <w:tc>
          <w:tcPr>
            <w:tcW w:w="7074" w:type="dxa"/>
            <w:vAlign w:val="top"/>
          </w:tcPr>
          <w:p>
            <w:pPr>
              <w:pStyle w:val="6"/>
              <w:spacing w:before="100" w:line="255" w:lineRule="auto"/>
              <w:ind w:left="93" w:firstLine="149"/>
            </w:pPr>
            <w:r>
              <w:rPr>
                <w:spacing w:val="-1"/>
              </w:rPr>
              <w:t>(1)对符合条件的2027届中等职业学校学生申报，按1500元/人的标准发</w:t>
            </w:r>
            <w:r>
              <w:rPr>
                <w:spacing w:val="16"/>
              </w:rPr>
              <w:t xml:space="preserve"> </w:t>
            </w:r>
            <w:r>
              <w:rPr>
                <w:spacing w:val="-6"/>
              </w:rPr>
              <w:t>放一次性求职补贴，及时对接区内2家职业院校向毕业生宣传政策</w:t>
            </w:r>
            <w:r>
              <w:rPr>
                <w:spacing w:val="-7"/>
              </w:rPr>
              <w:t>，引导符</w:t>
            </w:r>
            <w:r>
              <w:t xml:space="preserve"> </w:t>
            </w:r>
            <w:r>
              <w:rPr>
                <w:spacing w:val="-6"/>
              </w:rPr>
              <w:t>合条件的毕业生网上申报，确保毕业生“最多跑一次”,对审核通过符合申</w:t>
            </w:r>
            <w:r>
              <w:rPr>
                <w:spacing w:val="17"/>
              </w:rPr>
              <w:t xml:space="preserve"> </w:t>
            </w:r>
            <w:r>
              <w:rPr>
                <w:spacing w:val="-9"/>
              </w:rPr>
              <w:t>领条件的毕业生，及时通过“银行代发、直补到</w:t>
            </w:r>
            <w:r>
              <w:rPr>
                <w:spacing w:val="-10"/>
              </w:rPr>
              <w:t>人”的方式，将补贴资金按</w:t>
            </w:r>
            <w:r>
              <w:t xml:space="preserve"> </w:t>
            </w:r>
            <w:r>
              <w:rPr>
                <w:spacing w:val="-1"/>
              </w:rPr>
              <w:t>时足额发放到毕业生社会保障卡金融账户或毕业生提供的银行账户。</w:t>
            </w:r>
          </w:p>
          <w:p>
            <w:pPr>
              <w:pStyle w:val="6"/>
              <w:spacing w:before="28" w:line="266" w:lineRule="auto"/>
              <w:ind w:left="93" w:firstLine="126"/>
            </w:pPr>
            <w:r>
              <w:rPr>
                <w:spacing w:val="-3"/>
              </w:rPr>
              <w:t>(2)按照省市统一部署，严格落实省人社厅《全省街道(乡镇)“三公里”</w:t>
            </w:r>
            <w:r>
              <w:rPr>
                <w:spacing w:val="14"/>
              </w:rPr>
              <w:t xml:space="preserve"> </w:t>
            </w:r>
            <w:r>
              <w:rPr>
                <w:spacing w:val="-9"/>
              </w:rPr>
              <w:t>就业圈服务站规范化建设运行工作指引》要求，计划选择劳动年龄段人口、</w:t>
            </w:r>
            <w:r>
              <w:rPr>
                <w:spacing w:val="6"/>
              </w:rPr>
              <w:t xml:space="preserve"> </w:t>
            </w:r>
            <w:r>
              <w:rPr>
                <w:spacing w:val="-11"/>
              </w:rPr>
              <w:t>经营实体较多的乡镇街，建设1个标准化“三公里</w:t>
            </w:r>
            <w:r>
              <w:rPr>
                <w:spacing w:val="-12"/>
              </w:rPr>
              <w:t>”就业圈服务站，提供招</w:t>
            </w:r>
            <w:r>
              <w:t xml:space="preserve">  </w:t>
            </w:r>
            <w:r>
              <w:rPr>
                <w:spacing w:val="-15"/>
              </w:rPr>
              <w:t>聘求职、政策咨询、职业指导、职业培训等就业服务，推动站点建成后规范</w:t>
            </w:r>
            <w:r>
              <w:rPr>
                <w:spacing w:val="3"/>
              </w:rPr>
              <w:t xml:space="preserve">  </w:t>
            </w:r>
            <w:r>
              <w:rPr>
                <w:spacing w:val="-4"/>
              </w:rPr>
              <w:t>运行。</w:t>
            </w:r>
          </w:p>
          <w:p>
            <w:pPr>
              <w:pStyle w:val="6"/>
              <w:spacing w:before="46" w:line="229" w:lineRule="auto"/>
              <w:ind w:left="83" w:firstLine="137"/>
            </w:pPr>
            <w:r>
              <w:rPr>
                <w:spacing w:val="-6"/>
              </w:rPr>
              <w:t>(3)加强面向“两后生”、适龄农民工、失业人员、未就业高校和职业学</w:t>
            </w:r>
            <w:r>
              <w:rPr>
                <w:spacing w:val="6"/>
              </w:rPr>
              <w:t xml:space="preserve">  </w:t>
            </w:r>
            <w:r>
              <w:rPr>
                <w:spacing w:val="-9"/>
              </w:rPr>
              <w:t>校毕业生等重点群体政策宣传工作，积极配合技工院校在我区的招生工作。</w:t>
            </w:r>
          </w:p>
        </w:tc>
        <w:tc>
          <w:tcPr>
            <w:tcW w:w="10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674" w:type="dxa"/>
            <w:vAlign w:val="top"/>
          </w:tcPr>
          <w:p>
            <w:pPr>
              <w:spacing w:line="472" w:lineRule="auto"/>
              <w:rPr>
                <w:rFonts w:ascii="Arial"/>
                <w:sz w:val="21"/>
              </w:rPr>
            </w:pPr>
          </w:p>
          <w:p>
            <w:pPr>
              <w:pStyle w:val="6"/>
              <w:spacing w:before="72" w:line="241" w:lineRule="auto"/>
              <w:ind w:left="275"/>
            </w:pPr>
            <w:r>
              <w:t>2</w:t>
            </w:r>
          </w:p>
        </w:tc>
        <w:tc>
          <w:tcPr>
            <w:tcW w:w="1359" w:type="dxa"/>
            <w:vAlign w:val="top"/>
          </w:tcPr>
          <w:p>
            <w:pPr>
              <w:spacing w:line="452" w:lineRule="auto"/>
              <w:rPr>
                <w:rFonts w:ascii="Arial"/>
                <w:sz w:val="21"/>
              </w:rPr>
            </w:pPr>
          </w:p>
          <w:p>
            <w:pPr>
              <w:pStyle w:val="6"/>
              <w:spacing w:before="71" w:line="221" w:lineRule="auto"/>
              <w:ind w:left="111"/>
            </w:pPr>
            <w:r>
              <w:rPr>
                <w:spacing w:val="2"/>
              </w:rPr>
              <w:t>区残联</w:t>
            </w:r>
          </w:p>
        </w:tc>
        <w:tc>
          <w:tcPr>
            <w:tcW w:w="2738" w:type="dxa"/>
            <w:vAlign w:val="top"/>
          </w:tcPr>
          <w:p>
            <w:pPr>
              <w:spacing w:line="332" w:lineRule="auto"/>
              <w:rPr>
                <w:rFonts w:ascii="Arial"/>
                <w:sz w:val="21"/>
              </w:rPr>
            </w:pPr>
          </w:p>
          <w:p>
            <w:pPr>
              <w:pStyle w:val="6"/>
              <w:spacing w:before="71" w:line="270" w:lineRule="auto"/>
              <w:ind w:left="91" w:right="57" w:hanging="49"/>
            </w:pPr>
            <w:r>
              <w:rPr>
                <w:spacing w:val="-1"/>
              </w:rPr>
              <w:t>为有需求的残疾人开展职业</w:t>
            </w:r>
            <w:r>
              <w:t xml:space="preserve"> 技能培训不低于50人次。</w:t>
            </w:r>
          </w:p>
        </w:tc>
        <w:tc>
          <w:tcPr>
            <w:tcW w:w="7074" w:type="dxa"/>
            <w:vAlign w:val="top"/>
          </w:tcPr>
          <w:p>
            <w:pPr>
              <w:pStyle w:val="6"/>
              <w:spacing w:before="83" w:line="244" w:lineRule="auto"/>
              <w:ind w:left="104" w:firstLine="129"/>
            </w:pPr>
            <w:r>
              <w:rPr>
                <w:spacing w:val="-6"/>
              </w:rPr>
              <w:t>(1)通过线下培训、“互联网+培训”等多种形式，依托残</w:t>
            </w:r>
            <w:r>
              <w:rPr>
                <w:spacing w:val="-7"/>
              </w:rPr>
              <w:t>疾人职业培训基</w:t>
            </w:r>
            <w:r>
              <w:t xml:space="preserve"> </w:t>
            </w:r>
            <w:r>
              <w:rPr>
                <w:spacing w:val="-1"/>
              </w:rPr>
              <w:t>地、社会机构等，开展残疾人职业技能培训和创业培训。</w:t>
            </w:r>
          </w:p>
          <w:p>
            <w:pPr>
              <w:pStyle w:val="6"/>
              <w:spacing w:before="61" w:line="219" w:lineRule="auto"/>
              <w:ind w:left="104" w:firstLine="119"/>
            </w:pPr>
            <w:r>
              <w:rPr>
                <w:spacing w:val="-3"/>
              </w:rPr>
              <w:t>(2)残疾人培训费用从扶持残疾人就业创业专项经费支出，残疾人培训享</w:t>
            </w:r>
            <w:r>
              <w:rPr>
                <w:spacing w:val="8"/>
              </w:rPr>
              <w:t xml:space="preserve"> </w:t>
            </w:r>
            <w:r>
              <w:rPr>
                <w:spacing w:val="-1"/>
              </w:rPr>
              <w:t>受培训补贴和生活补贴(含交通补贴)。</w:t>
            </w:r>
          </w:p>
        </w:tc>
        <w:tc>
          <w:tcPr>
            <w:tcW w:w="10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2" w:hRule="atLeast"/>
        </w:trPr>
        <w:tc>
          <w:tcPr>
            <w:tcW w:w="674"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71"/>
              <w:ind w:left="275"/>
            </w:pPr>
            <w:r>
              <w:t>3</w:t>
            </w:r>
          </w:p>
        </w:tc>
        <w:tc>
          <w:tcPr>
            <w:tcW w:w="1359" w:type="dxa"/>
            <w:vAlign w:val="top"/>
          </w:tcPr>
          <w:p>
            <w:pPr>
              <w:spacing w:line="316" w:lineRule="auto"/>
              <w:rPr>
                <w:rFonts w:ascii="Arial"/>
                <w:sz w:val="21"/>
              </w:rPr>
            </w:pPr>
          </w:p>
          <w:p>
            <w:pPr>
              <w:spacing w:line="317" w:lineRule="auto"/>
              <w:rPr>
                <w:rFonts w:ascii="Arial"/>
                <w:sz w:val="21"/>
              </w:rPr>
            </w:pPr>
          </w:p>
          <w:p>
            <w:pPr>
              <w:spacing w:line="317" w:lineRule="auto"/>
              <w:rPr>
                <w:rFonts w:ascii="Arial"/>
                <w:sz w:val="21"/>
              </w:rPr>
            </w:pPr>
          </w:p>
          <w:p>
            <w:pPr>
              <w:pStyle w:val="6"/>
              <w:spacing w:before="72" w:line="221" w:lineRule="auto"/>
              <w:ind w:left="111"/>
            </w:pPr>
            <w:r>
              <w:rPr>
                <w:spacing w:val="4"/>
              </w:rPr>
              <w:t>区民政局</w:t>
            </w:r>
          </w:p>
        </w:tc>
        <w:tc>
          <w:tcPr>
            <w:tcW w:w="2738" w:type="dxa"/>
            <w:vAlign w:val="top"/>
          </w:tcPr>
          <w:p>
            <w:pPr>
              <w:spacing w:line="335" w:lineRule="auto"/>
              <w:rPr>
                <w:rFonts w:ascii="Arial"/>
                <w:sz w:val="21"/>
              </w:rPr>
            </w:pPr>
          </w:p>
          <w:p>
            <w:pPr>
              <w:spacing w:line="336" w:lineRule="auto"/>
              <w:rPr>
                <w:rFonts w:ascii="Arial"/>
                <w:sz w:val="21"/>
              </w:rPr>
            </w:pPr>
          </w:p>
          <w:p>
            <w:pPr>
              <w:pStyle w:val="6"/>
              <w:spacing w:before="72" w:line="274" w:lineRule="auto"/>
              <w:ind w:left="42" w:right="32" w:firstLine="49"/>
              <w:jc w:val="both"/>
            </w:pPr>
            <w:r>
              <w:rPr>
                <w:spacing w:val="1"/>
              </w:rPr>
              <w:t>建设4个农村幸福院，对公</w:t>
            </w:r>
            <w:r>
              <w:t xml:space="preserve"> </w:t>
            </w:r>
            <w:r>
              <w:rPr>
                <w:spacing w:val="1"/>
              </w:rPr>
              <w:t>建公营农村敬老院给予补助</w:t>
            </w:r>
            <w:r>
              <w:t xml:space="preserve"> </w:t>
            </w:r>
            <w:r>
              <w:rPr>
                <w:spacing w:val="16"/>
              </w:rPr>
              <w:t>支持。</w:t>
            </w:r>
          </w:p>
        </w:tc>
        <w:tc>
          <w:tcPr>
            <w:tcW w:w="7074" w:type="dxa"/>
            <w:vAlign w:val="top"/>
          </w:tcPr>
          <w:p>
            <w:pPr>
              <w:pStyle w:val="6"/>
              <w:spacing w:before="105" w:line="252" w:lineRule="auto"/>
              <w:ind w:left="113" w:firstLine="119"/>
            </w:pPr>
            <w:r>
              <w:rPr>
                <w:spacing w:val="-3"/>
              </w:rPr>
              <w:t>(1)按照“有固定场所，有服务设备，有服务内容，有服务队</w:t>
            </w:r>
            <w:r>
              <w:rPr>
                <w:spacing w:val="-4"/>
              </w:rPr>
              <w:t>伍，有管理</w:t>
            </w:r>
            <w:r>
              <w:t xml:space="preserve"> </w:t>
            </w:r>
            <w:r>
              <w:rPr>
                <w:spacing w:val="-9"/>
              </w:rPr>
              <w:t>制度，有资金保障”的要求，优先在老年人</w:t>
            </w:r>
            <w:r>
              <w:rPr>
                <w:spacing w:val="-10"/>
              </w:rPr>
              <w:t>口特别是留守老年人较多、服务</w:t>
            </w:r>
            <w:r>
              <w:t xml:space="preserve"> 需求大、居住相对集中的行政村或自然村规划建设农村幸福院。</w:t>
            </w:r>
          </w:p>
          <w:p>
            <w:pPr>
              <w:pStyle w:val="6"/>
              <w:spacing w:before="57" w:line="247" w:lineRule="auto"/>
              <w:ind w:left="124" w:firstLine="99"/>
            </w:pPr>
            <w:r>
              <w:rPr>
                <w:spacing w:val="-3"/>
              </w:rPr>
              <w:t>(2)建立敬老院运营管理经费保障长效机制</w:t>
            </w:r>
            <w:r>
              <w:rPr>
                <w:spacing w:val="-4"/>
              </w:rPr>
              <w:t>，将已建成运营的公办农村特</w:t>
            </w:r>
            <w:r>
              <w:t xml:space="preserve"> </w:t>
            </w:r>
            <w:r>
              <w:rPr>
                <w:spacing w:val="-10"/>
              </w:rPr>
              <w:t>困人员供养机构所需补助经费纳入财政预算统筹保障。将敬老</w:t>
            </w:r>
            <w:r>
              <w:rPr>
                <w:spacing w:val="-11"/>
              </w:rPr>
              <w:t>院运营管理纳</w:t>
            </w:r>
            <w:r>
              <w:t xml:space="preserve"> </w:t>
            </w:r>
            <w:r>
              <w:rPr>
                <w:spacing w:val="-10"/>
              </w:rPr>
              <w:t>入民政重点工作综合评估，指导乡镇民政部门督促敬老院规范运营，加强内</w:t>
            </w:r>
            <w:r>
              <w:rPr>
                <w:spacing w:val="8"/>
              </w:rPr>
              <w:t xml:space="preserve"> </w:t>
            </w:r>
            <w:r>
              <w:rPr>
                <w:spacing w:val="-1"/>
              </w:rPr>
              <w:t>部安全管理，提升服务质量。</w:t>
            </w:r>
          </w:p>
        </w:tc>
        <w:tc>
          <w:tcPr>
            <w:tcW w:w="1084" w:type="dxa"/>
            <w:vAlign w:val="top"/>
          </w:tcPr>
          <w:p>
            <w:pPr>
              <w:rPr>
                <w:rFonts w:ascii="Arial"/>
                <w:sz w:val="21"/>
              </w:rPr>
            </w:pPr>
          </w:p>
        </w:tc>
      </w:tr>
    </w:tbl>
    <w:p>
      <w:pPr>
        <w:pStyle w:val="2"/>
      </w:pPr>
    </w:p>
    <w:p>
      <w:pPr>
        <w:sectPr>
          <w:footerReference r:id="rId5" w:type="default"/>
          <w:pgSz w:w="16830" w:h="11900"/>
          <w:pgMar w:top="1011" w:right="2054" w:bottom="1240" w:left="1835" w:header="0" w:footer="967" w:gutter="0"/>
          <w:cols w:space="720" w:num="1"/>
        </w:sectPr>
      </w:pPr>
    </w:p>
    <w:p/>
    <w:p/>
    <w:tbl>
      <w:tblPr>
        <w:tblStyle w:val="5"/>
        <w:tblW w:w="12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1359"/>
        <w:gridCol w:w="2728"/>
        <w:gridCol w:w="7064"/>
        <w:gridCol w:w="10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675" w:type="dxa"/>
            <w:vAlign w:val="top"/>
          </w:tcPr>
          <w:p>
            <w:pPr>
              <w:pStyle w:val="6"/>
              <w:spacing w:before="235" w:line="221" w:lineRule="auto"/>
              <w:ind w:left="104"/>
            </w:pPr>
            <w:r>
              <w:rPr>
                <w:spacing w:val="6"/>
              </w:rPr>
              <w:t>序号</w:t>
            </w:r>
          </w:p>
        </w:tc>
        <w:tc>
          <w:tcPr>
            <w:tcW w:w="1359" w:type="dxa"/>
            <w:vAlign w:val="top"/>
          </w:tcPr>
          <w:p>
            <w:pPr>
              <w:pStyle w:val="6"/>
              <w:spacing w:before="232" w:line="219" w:lineRule="auto"/>
              <w:ind w:left="229"/>
            </w:pPr>
            <w:r>
              <w:rPr>
                <w:spacing w:val="-2"/>
              </w:rPr>
              <w:t>牵头单位</w:t>
            </w:r>
          </w:p>
        </w:tc>
        <w:tc>
          <w:tcPr>
            <w:tcW w:w="2728" w:type="dxa"/>
            <w:vAlign w:val="top"/>
          </w:tcPr>
          <w:p>
            <w:pPr>
              <w:pStyle w:val="6"/>
              <w:spacing w:before="234" w:line="219" w:lineRule="auto"/>
              <w:ind w:left="591"/>
            </w:pPr>
            <w:r>
              <w:rPr>
                <w:spacing w:val="-15"/>
              </w:rPr>
              <w:t>实</w:t>
            </w:r>
            <w:r>
              <w:rPr>
                <w:spacing w:val="5"/>
              </w:rPr>
              <w:t xml:space="preserve">  </w:t>
            </w:r>
            <w:r>
              <w:rPr>
                <w:spacing w:val="-15"/>
              </w:rPr>
              <w:t>施</w:t>
            </w:r>
            <w:r>
              <w:rPr>
                <w:spacing w:val="19"/>
              </w:rPr>
              <w:t xml:space="preserve">  </w:t>
            </w:r>
            <w:r>
              <w:rPr>
                <w:spacing w:val="-15"/>
              </w:rPr>
              <w:t>内</w:t>
            </w:r>
            <w:r>
              <w:rPr>
                <w:spacing w:val="6"/>
              </w:rPr>
              <w:t xml:space="preserve">  </w:t>
            </w:r>
            <w:r>
              <w:rPr>
                <w:spacing w:val="-15"/>
              </w:rPr>
              <w:t>容</w:t>
            </w:r>
          </w:p>
        </w:tc>
        <w:tc>
          <w:tcPr>
            <w:tcW w:w="7064" w:type="dxa"/>
            <w:vAlign w:val="top"/>
          </w:tcPr>
          <w:p>
            <w:pPr>
              <w:pStyle w:val="6"/>
              <w:spacing w:before="234" w:line="220" w:lineRule="auto"/>
              <w:ind w:left="2782"/>
            </w:pPr>
            <w:r>
              <w:rPr>
                <w:spacing w:val="-5"/>
              </w:rPr>
              <w:t>推</w:t>
            </w:r>
            <w:r>
              <w:rPr>
                <w:spacing w:val="107"/>
              </w:rPr>
              <w:t xml:space="preserve"> </w:t>
            </w:r>
            <w:r>
              <w:rPr>
                <w:spacing w:val="-5"/>
              </w:rPr>
              <w:t>进  措  施</w:t>
            </w:r>
          </w:p>
        </w:tc>
        <w:tc>
          <w:tcPr>
            <w:tcW w:w="1094" w:type="dxa"/>
            <w:vAlign w:val="top"/>
          </w:tcPr>
          <w:p>
            <w:pPr>
              <w:pStyle w:val="6"/>
              <w:spacing w:before="235" w:line="221" w:lineRule="auto"/>
              <w:ind w:left="109"/>
            </w:pPr>
            <w:r>
              <w:rPr>
                <w:spacing w:val="-6"/>
              </w:rPr>
              <w:t>备</w:t>
            </w:r>
            <w:r>
              <w:rPr>
                <w:spacing w:val="11"/>
              </w:rPr>
              <w:t xml:space="preserve"> </w:t>
            </w:r>
            <w:r>
              <w:rPr>
                <w:spacing w:val="-6"/>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675" w:type="dxa"/>
            <w:vAlign w:val="top"/>
          </w:tcPr>
          <w:p>
            <w:pPr>
              <w:spacing w:line="268" w:lineRule="auto"/>
              <w:rPr>
                <w:rFonts w:ascii="Arial"/>
                <w:sz w:val="21"/>
              </w:rPr>
            </w:pPr>
          </w:p>
          <w:p>
            <w:pPr>
              <w:spacing w:line="269" w:lineRule="auto"/>
              <w:rPr>
                <w:rFonts w:ascii="Arial"/>
                <w:sz w:val="21"/>
              </w:rPr>
            </w:pPr>
          </w:p>
          <w:p>
            <w:pPr>
              <w:pStyle w:val="6"/>
              <w:spacing w:before="71" w:line="241" w:lineRule="auto"/>
              <w:ind w:left="275"/>
            </w:pPr>
            <w:r>
              <w:t>4</w:t>
            </w:r>
          </w:p>
        </w:tc>
        <w:tc>
          <w:tcPr>
            <w:tcW w:w="1359" w:type="dxa"/>
            <w:vAlign w:val="top"/>
          </w:tcPr>
          <w:p>
            <w:pPr>
              <w:spacing w:line="258" w:lineRule="auto"/>
              <w:rPr>
                <w:rFonts w:ascii="Arial"/>
                <w:sz w:val="21"/>
              </w:rPr>
            </w:pPr>
          </w:p>
          <w:p>
            <w:pPr>
              <w:spacing w:line="258" w:lineRule="auto"/>
              <w:rPr>
                <w:rFonts w:ascii="Arial"/>
                <w:sz w:val="21"/>
              </w:rPr>
            </w:pPr>
          </w:p>
          <w:p>
            <w:pPr>
              <w:pStyle w:val="6"/>
              <w:spacing w:before="72" w:line="221" w:lineRule="auto"/>
              <w:ind w:left="99"/>
            </w:pPr>
            <w:r>
              <w:rPr>
                <w:spacing w:val="4"/>
              </w:rPr>
              <w:t>区民政局</w:t>
            </w:r>
          </w:p>
        </w:tc>
        <w:tc>
          <w:tcPr>
            <w:tcW w:w="2728" w:type="dxa"/>
            <w:vAlign w:val="top"/>
          </w:tcPr>
          <w:p>
            <w:pPr>
              <w:pStyle w:val="6"/>
              <w:spacing w:before="37" w:line="225" w:lineRule="auto"/>
              <w:ind w:left="30"/>
              <w:jc w:val="both"/>
            </w:pPr>
            <w:r>
              <w:rPr>
                <w:spacing w:val="-5"/>
              </w:rPr>
              <w:t>省级任务为加强城乡公益性</w:t>
            </w:r>
            <w:r>
              <w:rPr>
                <w:spacing w:val="3"/>
              </w:rPr>
              <w:t xml:space="preserve">  </w:t>
            </w:r>
            <w:r>
              <w:rPr>
                <w:spacing w:val="-4"/>
              </w:rPr>
              <w:t>公墓建设管理，推进不少于</w:t>
            </w:r>
            <w:r>
              <w:t xml:space="preserve">  </w:t>
            </w:r>
            <w:r>
              <w:rPr>
                <w:spacing w:val="3"/>
              </w:rPr>
              <w:t>30个城乡公益性公墓新建、</w:t>
            </w:r>
            <w:r>
              <w:rPr>
                <w:spacing w:val="7"/>
              </w:rPr>
              <w:t xml:space="preserve"> </w:t>
            </w:r>
            <w:r>
              <w:rPr>
                <w:spacing w:val="-5"/>
              </w:rPr>
              <w:t>改扩建或配套设施改造以及</w:t>
            </w:r>
            <w:r>
              <w:rPr>
                <w:spacing w:val="5"/>
              </w:rPr>
              <w:t xml:space="preserve">  </w:t>
            </w:r>
            <w:r>
              <w:rPr>
                <w:spacing w:val="1"/>
              </w:rPr>
              <w:t>提升管理维护水平。</w:t>
            </w:r>
          </w:p>
        </w:tc>
        <w:tc>
          <w:tcPr>
            <w:tcW w:w="7064" w:type="dxa"/>
            <w:vAlign w:val="top"/>
          </w:tcPr>
          <w:p>
            <w:pPr>
              <w:spacing w:line="260" w:lineRule="auto"/>
              <w:rPr>
                <w:rFonts w:ascii="Arial"/>
                <w:sz w:val="21"/>
              </w:rPr>
            </w:pPr>
          </w:p>
          <w:p>
            <w:pPr>
              <w:spacing w:line="261" w:lineRule="auto"/>
              <w:rPr>
                <w:rFonts w:ascii="Arial"/>
                <w:sz w:val="21"/>
              </w:rPr>
            </w:pPr>
          </w:p>
          <w:p>
            <w:pPr>
              <w:pStyle w:val="6"/>
              <w:spacing w:before="72" w:line="224" w:lineRule="auto"/>
              <w:ind w:left="82"/>
            </w:pPr>
            <w:r>
              <w:t>/</w:t>
            </w:r>
          </w:p>
        </w:tc>
        <w:tc>
          <w:tcPr>
            <w:tcW w:w="1094" w:type="dxa"/>
            <w:vAlign w:val="top"/>
          </w:tcPr>
          <w:p>
            <w:pPr>
              <w:spacing w:line="257" w:lineRule="auto"/>
              <w:rPr>
                <w:rFonts w:ascii="Arial"/>
                <w:sz w:val="21"/>
              </w:rPr>
            </w:pPr>
          </w:p>
          <w:p>
            <w:pPr>
              <w:spacing w:line="258" w:lineRule="auto"/>
              <w:rPr>
                <w:rFonts w:ascii="Arial"/>
                <w:sz w:val="21"/>
              </w:rPr>
            </w:pPr>
          </w:p>
          <w:p>
            <w:pPr>
              <w:pStyle w:val="6"/>
              <w:spacing w:before="72" w:line="219" w:lineRule="auto"/>
              <w:ind w:left="109"/>
            </w:pPr>
            <w:r>
              <w:rPr>
                <w:spacing w:val="3"/>
              </w:rPr>
              <w:t>无任务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7" w:hRule="atLeast"/>
        </w:trPr>
        <w:tc>
          <w:tcPr>
            <w:tcW w:w="675" w:type="dxa"/>
            <w:vAlign w:val="top"/>
          </w:tcPr>
          <w:p>
            <w:pPr>
              <w:spacing w:line="293" w:lineRule="auto"/>
              <w:rPr>
                <w:rFonts w:ascii="Arial"/>
                <w:sz w:val="21"/>
              </w:rPr>
            </w:pPr>
          </w:p>
          <w:p>
            <w:pPr>
              <w:spacing w:line="293" w:lineRule="auto"/>
              <w:rPr>
                <w:rFonts w:ascii="Arial"/>
                <w:sz w:val="21"/>
              </w:rPr>
            </w:pPr>
          </w:p>
          <w:p>
            <w:pPr>
              <w:spacing w:line="294" w:lineRule="auto"/>
              <w:rPr>
                <w:rFonts w:ascii="Arial"/>
                <w:sz w:val="21"/>
              </w:rPr>
            </w:pPr>
          </w:p>
          <w:p>
            <w:pPr>
              <w:spacing w:line="294" w:lineRule="auto"/>
              <w:rPr>
                <w:rFonts w:ascii="Arial"/>
                <w:sz w:val="21"/>
              </w:rPr>
            </w:pPr>
          </w:p>
          <w:p>
            <w:pPr>
              <w:pStyle w:val="6"/>
              <w:spacing w:before="72"/>
              <w:ind w:left="275"/>
            </w:pPr>
            <w:r>
              <w:t>5</w:t>
            </w:r>
          </w:p>
        </w:tc>
        <w:tc>
          <w:tcPr>
            <w:tcW w:w="135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6"/>
              <w:spacing w:before="72" w:line="245" w:lineRule="auto"/>
              <w:ind w:left="99" w:right="39"/>
            </w:pPr>
            <w:r>
              <w:rPr>
                <w:spacing w:val="22"/>
              </w:rPr>
              <w:t>区民政局、</w:t>
            </w:r>
            <w:r>
              <w:t xml:space="preserve"> </w:t>
            </w:r>
            <w:r>
              <w:rPr>
                <w:spacing w:val="4"/>
              </w:rPr>
              <w:t>区医保局</w:t>
            </w:r>
          </w:p>
        </w:tc>
        <w:tc>
          <w:tcPr>
            <w:tcW w:w="2728" w:type="dxa"/>
            <w:vAlign w:val="top"/>
          </w:tcPr>
          <w:p>
            <w:pPr>
              <w:spacing w:line="336" w:lineRule="auto"/>
              <w:rPr>
                <w:rFonts w:ascii="Arial"/>
                <w:sz w:val="21"/>
              </w:rPr>
            </w:pPr>
          </w:p>
          <w:p>
            <w:pPr>
              <w:pStyle w:val="6"/>
              <w:spacing w:before="71" w:line="237" w:lineRule="auto"/>
              <w:ind w:left="30" w:right="35"/>
              <w:jc w:val="both"/>
            </w:pPr>
            <w:r>
              <w:t>落实城乡低保标准动态调整</w:t>
            </w:r>
            <w:r>
              <w:rPr>
                <w:spacing w:val="10"/>
              </w:rPr>
              <w:t xml:space="preserve"> </w:t>
            </w:r>
            <w:r>
              <w:rPr>
                <w:spacing w:val="-1"/>
              </w:rPr>
              <w:t>机制，特困人员基本生活标</w:t>
            </w:r>
            <w:r>
              <w:rPr>
                <w:spacing w:val="3"/>
              </w:rPr>
              <w:t xml:space="preserve"> </w:t>
            </w:r>
            <w:r>
              <w:rPr>
                <w:spacing w:val="-1"/>
              </w:rPr>
              <w:t>准按照不低于当地最低生活</w:t>
            </w:r>
            <w:r>
              <w:t xml:space="preserve"> </w:t>
            </w:r>
            <w:r>
              <w:rPr>
                <w:spacing w:val="3"/>
              </w:rPr>
              <w:t>保障标准的1.3倍确定；对</w:t>
            </w:r>
            <w:r>
              <w:rPr>
                <w:spacing w:val="10"/>
              </w:rPr>
              <w:t xml:space="preserve"> </w:t>
            </w:r>
            <w:r>
              <w:t>困难群众参加城乡居民医保</w:t>
            </w:r>
          </w:p>
          <w:p>
            <w:pPr>
              <w:pStyle w:val="6"/>
              <w:spacing w:before="1" w:line="229" w:lineRule="auto"/>
              <w:ind w:left="91" w:right="140" w:firstLine="49"/>
            </w:pPr>
            <w:r>
              <w:rPr>
                <w:spacing w:val="1"/>
              </w:rPr>
              <w:t>个人缴费部分给予分类资</w:t>
            </w:r>
            <w:r>
              <w:rPr>
                <w:spacing w:val="4"/>
              </w:rPr>
              <w:t xml:space="preserve"> </w:t>
            </w:r>
            <w:r>
              <w:t>助。</w:t>
            </w:r>
          </w:p>
        </w:tc>
        <w:tc>
          <w:tcPr>
            <w:tcW w:w="7064" w:type="dxa"/>
            <w:vAlign w:val="top"/>
          </w:tcPr>
          <w:p>
            <w:pPr>
              <w:pStyle w:val="6"/>
              <w:spacing w:before="29" w:line="227" w:lineRule="auto"/>
              <w:ind w:left="82" w:firstLine="137"/>
            </w:pPr>
            <w:r>
              <w:rPr>
                <w:spacing w:val="-9"/>
              </w:rPr>
              <w:t>(1)以“大数据+网格化+‘铁脚板’+优服务”为依托，对城乡分散供养特</w:t>
            </w:r>
            <w:r>
              <w:rPr>
                <w:spacing w:val="3"/>
              </w:rPr>
              <w:t xml:space="preserve">  </w:t>
            </w:r>
            <w:r>
              <w:rPr>
                <w:spacing w:val="-9"/>
              </w:rPr>
              <w:t>困家庭人员、失能半失能人员及孤寡老年人等特殊困难家庭进行全面筛查，</w:t>
            </w:r>
            <w:r>
              <w:rPr>
                <w:spacing w:val="7"/>
              </w:rPr>
              <w:t xml:space="preserve"> </w:t>
            </w:r>
            <w:r>
              <w:rPr>
                <w:spacing w:val="-3"/>
              </w:rPr>
              <w:t>通过建立台账、监测预警、动态调整等，实</w:t>
            </w:r>
            <w:r>
              <w:rPr>
                <w:spacing w:val="-4"/>
              </w:rPr>
              <w:t>施精准救助。</w:t>
            </w:r>
          </w:p>
          <w:p>
            <w:pPr>
              <w:pStyle w:val="6"/>
              <w:spacing w:before="1" w:line="224" w:lineRule="auto"/>
              <w:ind w:left="92" w:firstLine="137"/>
            </w:pPr>
            <w:r>
              <w:rPr>
                <w:spacing w:val="-3"/>
              </w:rPr>
              <w:t>(2)动态调整2026年度低保、特困人员救助供养标准，并按月足额</w:t>
            </w:r>
            <w:r>
              <w:rPr>
                <w:spacing w:val="-4"/>
              </w:rPr>
              <w:t>发放。</w:t>
            </w:r>
            <w:r>
              <w:t xml:space="preserve"> </w:t>
            </w:r>
            <w:r>
              <w:rPr>
                <w:spacing w:val="-12"/>
              </w:rPr>
              <w:t>为低保对象中入住养老机构的失能老年人提供集中照护服务，予以集中照护</w:t>
            </w:r>
            <w:r>
              <w:rPr>
                <w:spacing w:val="1"/>
              </w:rPr>
              <w:t xml:space="preserve">  </w:t>
            </w:r>
            <w:r>
              <w:rPr>
                <w:spacing w:val="-3"/>
              </w:rPr>
              <w:t>服务补助。</w:t>
            </w:r>
          </w:p>
          <w:p>
            <w:pPr>
              <w:pStyle w:val="6"/>
              <w:spacing w:before="9" w:line="218" w:lineRule="auto"/>
              <w:ind w:left="63" w:firstLine="159"/>
            </w:pPr>
            <w:r>
              <w:rPr>
                <w:spacing w:val="-3"/>
              </w:rPr>
              <w:t>(3)通过医疗救助资金对困难群众参加城乡居民医保个人缴费部分给予分</w:t>
            </w:r>
            <w:r>
              <w:t xml:space="preserve"> </w:t>
            </w:r>
            <w:r>
              <w:rPr>
                <w:spacing w:val="-3"/>
              </w:rPr>
              <w:t>类资助。其中，对特困人员给予全额资助，对低保对象给予80</w:t>
            </w:r>
            <w:r>
              <w:rPr>
                <w:spacing w:val="-4"/>
              </w:rPr>
              <w:t>%—90%定额</w:t>
            </w:r>
            <w:r>
              <w:t xml:space="preserve"> </w:t>
            </w:r>
            <w:r>
              <w:rPr>
                <w:spacing w:val="-2"/>
              </w:rPr>
              <w:t>资助，对返贫致贫人口给予70%—80%定额资助，对监测人口给予50%定额</w:t>
            </w:r>
          </w:p>
          <w:p>
            <w:pPr>
              <w:pStyle w:val="6"/>
              <w:spacing w:line="197" w:lineRule="auto"/>
              <w:ind w:left="122"/>
            </w:pPr>
            <w:r>
              <w:t>资助，剩余费用由个人按规定缴纳。</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1" w:hRule="atLeast"/>
        </w:trPr>
        <w:tc>
          <w:tcPr>
            <w:tcW w:w="675"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71"/>
              <w:ind w:left="275"/>
            </w:pPr>
            <w:r>
              <w:t>6</w:t>
            </w:r>
          </w:p>
        </w:tc>
        <w:tc>
          <w:tcPr>
            <w:tcW w:w="135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6"/>
              <w:spacing w:before="71" w:line="248" w:lineRule="auto"/>
              <w:ind w:left="99" w:right="39"/>
            </w:pPr>
            <w:r>
              <w:rPr>
                <w:spacing w:val="22"/>
              </w:rPr>
              <w:t>区总工会、</w:t>
            </w:r>
            <w:r>
              <w:t xml:space="preserve"> </w:t>
            </w:r>
            <w:r>
              <w:rPr>
                <w:spacing w:val="4"/>
              </w:rPr>
              <w:t>区司法局</w:t>
            </w:r>
          </w:p>
        </w:tc>
        <w:tc>
          <w:tcPr>
            <w:tcW w:w="2728" w:type="dxa"/>
            <w:vAlign w:val="top"/>
          </w:tcPr>
          <w:p>
            <w:pPr>
              <w:spacing w:line="312" w:lineRule="auto"/>
              <w:rPr>
                <w:rFonts w:ascii="Arial"/>
                <w:sz w:val="21"/>
              </w:rPr>
            </w:pPr>
          </w:p>
          <w:p>
            <w:pPr>
              <w:spacing w:line="313" w:lineRule="auto"/>
              <w:rPr>
                <w:rFonts w:ascii="Arial"/>
                <w:sz w:val="21"/>
              </w:rPr>
            </w:pPr>
          </w:p>
          <w:p>
            <w:pPr>
              <w:pStyle w:val="6"/>
              <w:spacing w:before="72" w:line="233" w:lineRule="auto"/>
              <w:ind w:left="30"/>
              <w:jc w:val="both"/>
            </w:pPr>
            <w:r>
              <w:rPr>
                <w:spacing w:val="-7"/>
              </w:rPr>
              <w:t>开展困难职工帮扶救助和困</w:t>
            </w:r>
            <w:r>
              <w:rPr>
                <w:spacing w:val="4"/>
              </w:rPr>
              <w:t xml:space="preserve">  </w:t>
            </w:r>
            <w:r>
              <w:rPr>
                <w:spacing w:val="-9"/>
              </w:rPr>
              <w:t>难群众法律援助，为困难职</w:t>
            </w:r>
            <w:r>
              <w:rPr>
                <w:spacing w:val="1"/>
              </w:rPr>
              <w:t xml:space="preserve">  </w:t>
            </w:r>
            <w:r>
              <w:rPr>
                <w:spacing w:val="-14"/>
              </w:rPr>
              <w:t>工提供生活救助、子女助学、</w:t>
            </w:r>
            <w:r>
              <w:rPr>
                <w:spacing w:val="8"/>
              </w:rPr>
              <w:t xml:space="preserve"> </w:t>
            </w:r>
            <w:r>
              <w:rPr>
                <w:spacing w:val="-1"/>
              </w:rPr>
              <w:t>医疗救助等不少于50人次，</w:t>
            </w:r>
            <w:r>
              <w:rPr>
                <w:spacing w:val="11"/>
              </w:rPr>
              <w:t xml:space="preserve"> </w:t>
            </w:r>
            <w:r>
              <w:rPr>
                <w:spacing w:val="-7"/>
              </w:rPr>
              <w:t>全区办理法律援助案件不少</w:t>
            </w:r>
            <w:r>
              <w:rPr>
                <w:spacing w:val="2"/>
              </w:rPr>
              <w:t xml:space="preserve">  </w:t>
            </w:r>
            <w:r>
              <w:rPr>
                <w:spacing w:val="-3"/>
              </w:rPr>
              <w:t>于280件，实现民事、行政</w:t>
            </w:r>
            <w:r>
              <w:rPr>
                <w:spacing w:val="5"/>
              </w:rPr>
              <w:t xml:space="preserve">  </w:t>
            </w:r>
            <w:r>
              <w:rPr>
                <w:spacing w:val="-9"/>
              </w:rPr>
              <w:t>法律援助应援尽援，刑事通</w:t>
            </w:r>
          </w:p>
          <w:p>
            <w:pPr>
              <w:pStyle w:val="6"/>
              <w:spacing w:before="1" w:line="239" w:lineRule="auto"/>
              <w:ind w:left="70" w:right="144" w:firstLine="70"/>
            </w:pPr>
            <w:r>
              <w:rPr>
                <w:spacing w:val="1"/>
              </w:rPr>
              <w:t>知辩护案件法律援助全覆</w:t>
            </w:r>
            <w:r>
              <w:t xml:space="preserve"> 盖。</w:t>
            </w:r>
          </w:p>
        </w:tc>
        <w:tc>
          <w:tcPr>
            <w:tcW w:w="7064" w:type="dxa"/>
            <w:vAlign w:val="top"/>
          </w:tcPr>
          <w:p>
            <w:pPr>
              <w:pStyle w:val="6"/>
              <w:spacing w:before="41" w:line="227" w:lineRule="auto"/>
              <w:ind w:left="102" w:firstLine="128"/>
            </w:pPr>
            <w:r>
              <w:rPr>
                <w:spacing w:val="-6"/>
              </w:rPr>
              <w:t>(1)依托送温暖“十条线”工作机制全域排查困难</w:t>
            </w:r>
            <w:r>
              <w:rPr>
                <w:spacing w:val="-7"/>
              </w:rPr>
              <w:t>职工群体，做到“不遗</w:t>
            </w:r>
            <w:r>
              <w:t xml:space="preserve">  </w:t>
            </w:r>
            <w:r>
              <w:rPr>
                <w:spacing w:val="-12"/>
              </w:rPr>
              <w:t>漏、不缺位”。加强与民政、人社、医保、</w:t>
            </w:r>
            <w:r>
              <w:rPr>
                <w:spacing w:val="-13"/>
              </w:rPr>
              <w:t>残联、卫健等部门协作，推动社</w:t>
            </w:r>
            <w:r>
              <w:t xml:space="preserve">  </w:t>
            </w:r>
            <w:r>
              <w:rPr>
                <w:spacing w:val="-16"/>
              </w:rPr>
              <w:t>会救助信息共享，依托部门数据库及信息平台强化自动筛查、风险预警功能，</w:t>
            </w:r>
            <w:r>
              <w:rPr>
                <w:spacing w:val="14"/>
              </w:rPr>
              <w:t xml:space="preserve"> </w:t>
            </w:r>
            <w:r>
              <w:rPr>
                <w:spacing w:val="-12"/>
              </w:rPr>
              <w:t>推动符合条件的职工及时纳入工会帮扶救助范围。</w:t>
            </w:r>
            <w:r>
              <w:rPr>
                <w:spacing w:val="-13"/>
              </w:rPr>
              <w:t>排查发现的困难职工第一</w:t>
            </w:r>
            <w:r>
              <w:t xml:space="preserve">  </w:t>
            </w:r>
            <w:r>
              <w:rPr>
                <w:spacing w:val="-2"/>
              </w:rPr>
              <w:t>时间告知基层工会启动建档工作。</w:t>
            </w:r>
          </w:p>
          <w:p>
            <w:pPr>
              <w:pStyle w:val="6"/>
              <w:spacing w:before="2" w:line="228" w:lineRule="auto"/>
              <w:ind w:left="102" w:firstLine="109"/>
            </w:pPr>
            <w:r>
              <w:rPr>
                <w:spacing w:val="-3"/>
              </w:rPr>
              <w:t>(2)打造线上线下协同的政策宣传矩阵，确保困难职工知晓帮扶政策。线</w:t>
            </w:r>
            <w:r>
              <w:rPr>
                <w:spacing w:val="9"/>
              </w:rPr>
              <w:t xml:space="preserve"> </w:t>
            </w:r>
            <w:r>
              <w:rPr>
                <w:spacing w:val="-10"/>
              </w:rPr>
              <w:t>上：通过短视频传播帮扶案例、公众号发布政策解读，引导职工通过“职工</w:t>
            </w:r>
            <w:r>
              <w:rPr>
                <w:spacing w:val="16"/>
              </w:rPr>
              <w:t xml:space="preserve"> </w:t>
            </w:r>
            <w:r>
              <w:rPr>
                <w:spacing w:val="-6"/>
              </w:rPr>
              <w:t>之家APP”等数字化渠道提交申请、线下：进企业车间、社区网格开</w:t>
            </w:r>
            <w:r>
              <w:rPr>
                <w:spacing w:val="-7"/>
              </w:rPr>
              <w:t>展面对</w:t>
            </w:r>
            <w:r>
              <w:t xml:space="preserve"> </w:t>
            </w:r>
            <w:r>
              <w:rPr>
                <w:spacing w:val="-10"/>
              </w:rPr>
              <w:t>面宣讲，在职工聚集场所张贴海报、摆放宣传手册，结合技能培训、入户走</w:t>
            </w:r>
            <w:r>
              <w:rPr>
                <w:spacing w:val="14"/>
              </w:rPr>
              <w:t xml:space="preserve"> </w:t>
            </w:r>
            <w:r>
              <w:rPr>
                <w:spacing w:val="-1"/>
              </w:rPr>
              <w:t>访等活动建立常态化联系。</w:t>
            </w:r>
          </w:p>
          <w:p>
            <w:pPr>
              <w:pStyle w:val="6"/>
              <w:spacing w:before="4" w:line="208" w:lineRule="auto"/>
              <w:ind w:left="102" w:firstLine="108"/>
            </w:pPr>
            <w:r>
              <w:rPr>
                <w:spacing w:val="-3"/>
              </w:rPr>
              <w:t>(3)将新就业形态劳动者、农民工、残疾人、老年人、未成年人、妇女、</w:t>
            </w:r>
            <w:r>
              <w:rPr>
                <w:spacing w:val="10"/>
              </w:rPr>
              <w:t xml:space="preserve"> </w:t>
            </w:r>
            <w:r>
              <w:rPr>
                <w:spacing w:val="-13"/>
              </w:rPr>
              <w:t>军人军属等作为法律援助重点服务对象，广泛开展法律援助宣传，健全法律</w:t>
            </w:r>
            <w:r>
              <w:rPr>
                <w:spacing w:val="9"/>
              </w:rPr>
              <w:t xml:space="preserve">  </w:t>
            </w:r>
            <w:r>
              <w:rPr>
                <w:spacing w:val="-12"/>
              </w:rPr>
              <w:t>服务网络。组织法律援助业务培训，开展法律援助案卷质量评</w:t>
            </w:r>
            <w:r>
              <w:rPr>
                <w:spacing w:val="-13"/>
              </w:rPr>
              <w:t>查、优秀案例</w:t>
            </w:r>
            <w:r>
              <w:t xml:space="preserve">  </w:t>
            </w:r>
            <w:r>
              <w:rPr>
                <w:spacing w:val="-4"/>
              </w:rPr>
              <w:t>评选等活动，实施绩效评价，提升法律援助服务质量。</w:t>
            </w:r>
          </w:p>
        </w:tc>
        <w:tc>
          <w:tcPr>
            <w:tcW w:w="1094" w:type="dxa"/>
            <w:vAlign w:val="top"/>
          </w:tcPr>
          <w:p>
            <w:pPr>
              <w:rPr>
                <w:rFonts w:ascii="Arial"/>
                <w:sz w:val="21"/>
              </w:rPr>
            </w:pPr>
          </w:p>
        </w:tc>
      </w:tr>
    </w:tbl>
    <w:p>
      <w:pPr>
        <w:pStyle w:val="2"/>
      </w:pPr>
    </w:p>
    <w:p>
      <w:pPr>
        <w:sectPr>
          <w:footerReference r:id="rId6" w:type="default"/>
          <w:pgSz w:w="16830" w:h="11900"/>
          <w:pgMar w:top="1011" w:right="2064" w:bottom="1404" w:left="1835" w:header="0" w:footer="1078" w:gutter="0"/>
          <w:cols w:space="720" w:num="1"/>
        </w:sectPr>
      </w:pPr>
    </w:p>
    <w:p>
      <w:pPr>
        <w:spacing w:before="20"/>
      </w:pPr>
    </w:p>
    <w:p>
      <w:pPr>
        <w:spacing w:before="20"/>
      </w:pPr>
    </w:p>
    <w:tbl>
      <w:tblPr>
        <w:tblStyle w:val="5"/>
        <w:tblW w:w="12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359"/>
        <w:gridCol w:w="2738"/>
        <w:gridCol w:w="7074"/>
        <w:gridCol w:w="10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674" w:type="dxa"/>
            <w:vAlign w:val="top"/>
          </w:tcPr>
          <w:p>
            <w:pPr>
              <w:pStyle w:val="6"/>
              <w:spacing w:before="235" w:line="221" w:lineRule="auto"/>
              <w:ind w:left="104"/>
            </w:pPr>
            <w:r>
              <w:rPr>
                <w:spacing w:val="6"/>
              </w:rPr>
              <w:t>序号</w:t>
            </w:r>
          </w:p>
        </w:tc>
        <w:tc>
          <w:tcPr>
            <w:tcW w:w="1359" w:type="dxa"/>
            <w:vAlign w:val="top"/>
          </w:tcPr>
          <w:p>
            <w:pPr>
              <w:pStyle w:val="6"/>
              <w:spacing w:before="232" w:line="219" w:lineRule="auto"/>
              <w:ind w:left="240"/>
            </w:pPr>
            <w:r>
              <w:rPr>
                <w:spacing w:val="-2"/>
              </w:rPr>
              <w:t>牵头单位</w:t>
            </w:r>
          </w:p>
        </w:tc>
        <w:tc>
          <w:tcPr>
            <w:tcW w:w="2738" w:type="dxa"/>
            <w:vAlign w:val="top"/>
          </w:tcPr>
          <w:p>
            <w:pPr>
              <w:pStyle w:val="6"/>
              <w:spacing w:before="234" w:line="219" w:lineRule="auto"/>
              <w:ind w:left="611"/>
            </w:pPr>
            <w:r>
              <w:rPr>
                <w:spacing w:val="-15"/>
              </w:rPr>
              <w:t>实</w:t>
            </w:r>
            <w:r>
              <w:rPr>
                <w:spacing w:val="2"/>
              </w:rPr>
              <w:t xml:space="preserve">  </w:t>
            </w:r>
            <w:r>
              <w:rPr>
                <w:spacing w:val="-15"/>
              </w:rPr>
              <w:t>施</w:t>
            </w:r>
            <w:r>
              <w:rPr>
                <w:spacing w:val="15"/>
              </w:rPr>
              <w:t xml:space="preserve">  </w:t>
            </w:r>
            <w:r>
              <w:rPr>
                <w:spacing w:val="-15"/>
              </w:rPr>
              <w:t>内</w:t>
            </w:r>
            <w:r>
              <w:rPr>
                <w:spacing w:val="3"/>
              </w:rPr>
              <w:t xml:space="preserve">  </w:t>
            </w:r>
            <w:r>
              <w:rPr>
                <w:spacing w:val="-15"/>
              </w:rPr>
              <w:t>容</w:t>
            </w:r>
          </w:p>
        </w:tc>
        <w:tc>
          <w:tcPr>
            <w:tcW w:w="7074" w:type="dxa"/>
            <w:vAlign w:val="top"/>
          </w:tcPr>
          <w:p>
            <w:pPr>
              <w:pStyle w:val="6"/>
              <w:spacing w:before="234" w:line="220" w:lineRule="auto"/>
              <w:ind w:left="2813"/>
            </w:pPr>
            <w:r>
              <w:rPr>
                <w:spacing w:val="-5"/>
              </w:rPr>
              <w:t>推</w:t>
            </w:r>
            <w:r>
              <w:rPr>
                <w:spacing w:val="106"/>
              </w:rPr>
              <w:t xml:space="preserve"> </w:t>
            </w:r>
            <w:r>
              <w:rPr>
                <w:spacing w:val="-5"/>
              </w:rPr>
              <w:t>进  措  施</w:t>
            </w:r>
          </w:p>
        </w:tc>
        <w:tc>
          <w:tcPr>
            <w:tcW w:w="1094" w:type="dxa"/>
            <w:vAlign w:val="top"/>
          </w:tcPr>
          <w:p>
            <w:pPr>
              <w:pStyle w:val="6"/>
              <w:spacing w:before="235" w:line="221" w:lineRule="auto"/>
              <w:ind w:left="249"/>
            </w:pPr>
            <w:r>
              <w:rPr>
                <w:spacing w:val="-6"/>
              </w:rPr>
              <w:t>备</w:t>
            </w:r>
            <w:r>
              <w:rPr>
                <w:spacing w:val="11"/>
              </w:rPr>
              <w:t xml:space="preserve"> </w:t>
            </w:r>
            <w:r>
              <w:rPr>
                <w:spacing w:val="-6"/>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674" w:type="dxa"/>
            <w:vAlign w:val="top"/>
          </w:tcPr>
          <w:p>
            <w:pPr>
              <w:spacing w:line="274" w:lineRule="auto"/>
              <w:rPr>
                <w:rFonts w:ascii="Arial"/>
                <w:sz w:val="21"/>
              </w:rPr>
            </w:pPr>
          </w:p>
          <w:p>
            <w:pPr>
              <w:spacing w:line="275" w:lineRule="auto"/>
              <w:rPr>
                <w:rFonts w:ascii="Arial"/>
                <w:sz w:val="21"/>
              </w:rPr>
            </w:pPr>
          </w:p>
          <w:p>
            <w:pPr>
              <w:spacing w:line="275" w:lineRule="auto"/>
              <w:rPr>
                <w:rFonts w:ascii="Arial"/>
                <w:sz w:val="21"/>
              </w:rPr>
            </w:pPr>
          </w:p>
          <w:p>
            <w:pPr>
              <w:pStyle w:val="6"/>
              <w:spacing w:before="72"/>
              <w:ind w:left="274"/>
            </w:pPr>
            <w:r>
              <w:t>7</w:t>
            </w:r>
          </w:p>
        </w:tc>
        <w:tc>
          <w:tcPr>
            <w:tcW w:w="135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6"/>
              <w:spacing w:before="72" w:line="221" w:lineRule="auto"/>
              <w:ind w:left="70"/>
            </w:pPr>
            <w:r>
              <w:rPr>
                <w:spacing w:val="2"/>
              </w:rPr>
              <w:t>区残联</w:t>
            </w:r>
          </w:p>
        </w:tc>
        <w:tc>
          <w:tcPr>
            <w:tcW w:w="2738" w:type="dxa"/>
            <w:vAlign w:val="top"/>
          </w:tcPr>
          <w:p>
            <w:pPr>
              <w:spacing w:line="336" w:lineRule="auto"/>
              <w:rPr>
                <w:rFonts w:ascii="Arial"/>
                <w:sz w:val="21"/>
              </w:rPr>
            </w:pPr>
          </w:p>
          <w:p>
            <w:pPr>
              <w:spacing w:line="337" w:lineRule="auto"/>
              <w:rPr>
                <w:rFonts w:ascii="Arial"/>
                <w:sz w:val="21"/>
              </w:rPr>
            </w:pPr>
          </w:p>
          <w:p>
            <w:pPr>
              <w:pStyle w:val="6"/>
              <w:spacing w:before="71" w:line="264" w:lineRule="auto"/>
              <w:ind w:left="92" w:right="117"/>
            </w:pPr>
            <w:r>
              <w:rPr>
                <w:spacing w:val="-1"/>
              </w:rPr>
              <w:t>为631名残疾人提供康复救</w:t>
            </w:r>
            <w:r>
              <w:t xml:space="preserve"> </w:t>
            </w:r>
            <w:r>
              <w:rPr>
                <w:spacing w:val="-1"/>
              </w:rPr>
              <w:t>助。</w:t>
            </w:r>
          </w:p>
        </w:tc>
        <w:tc>
          <w:tcPr>
            <w:tcW w:w="7074" w:type="dxa"/>
            <w:vAlign w:val="top"/>
          </w:tcPr>
          <w:p>
            <w:pPr>
              <w:pStyle w:val="6"/>
              <w:spacing w:before="91" w:line="247" w:lineRule="auto"/>
              <w:ind w:left="103" w:firstLine="129"/>
            </w:pPr>
            <w:r>
              <w:rPr>
                <w:spacing w:val="-3"/>
              </w:rPr>
              <w:t>(1)为64名有康复需求的视力、听力、言语、肢体、智力等残疾儿童和孤</w:t>
            </w:r>
            <w:r>
              <w:rPr>
                <w:spacing w:val="1"/>
              </w:rPr>
              <w:t xml:space="preserve"> </w:t>
            </w:r>
            <w:r>
              <w:t>独症儿童提供康复训练救助，补助标准按每人不低于1.5万元实</w:t>
            </w:r>
            <w:r>
              <w:rPr>
                <w:spacing w:val="-1"/>
              </w:rPr>
              <w:t>施。</w:t>
            </w:r>
          </w:p>
          <w:p>
            <w:pPr>
              <w:pStyle w:val="6"/>
              <w:spacing w:before="71" w:line="257" w:lineRule="auto"/>
              <w:ind w:left="103" w:firstLine="130"/>
            </w:pPr>
            <w:r>
              <w:t>(2)为4名残疾儿童适配假肢矫形器或其他辅助器具提供救助，适配假肢</w:t>
            </w:r>
            <w:r>
              <w:rPr>
                <w:spacing w:val="9"/>
              </w:rPr>
              <w:t xml:space="preserve"> </w:t>
            </w:r>
            <w:r>
              <w:rPr>
                <w:spacing w:val="1"/>
              </w:rPr>
              <w:t>矫形器的每人补助5000元，适配辅助器具的每人补助1</w:t>
            </w:r>
            <w:r>
              <w:t>500元。给予103名 有需求的持证残疾人适配基本型辅助器具补贴。</w:t>
            </w:r>
          </w:p>
          <w:p>
            <w:pPr>
              <w:pStyle w:val="6"/>
              <w:spacing w:before="69" w:line="191" w:lineRule="auto"/>
              <w:jc w:val="right"/>
            </w:pPr>
            <w:r>
              <w:rPr>
                <w:spacing w:val="-6"/>
              </w:rPr>
              <w:t>(3)为460名困难精神残疾人提供药费补助，补助标准为每人每年1000元。</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6" w:hRule="atLeast"/>
        </w:trPr>
        <w:tc>
          <w:tcPr>
            <w:tcW w:w="674" w:type="dxa"/>
            <w:vAlign w:val="top"/>
          </w:tcPr>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pStyle w:val="6"/>
              <w:spacing w:before="72"/>
              <w:ind w:left="274"/>
            </w:pPr>
            <w:r>
              <w:t>8</w:t>
            </w:r>
          </w:p>
        </w:tc>
        <w:tc>
          <w:tcPr>
            <w:tcW w:w="1359"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6"/>
              <w:spacing w:before="71" w:line="257" w:lineRule="auto"/>
              <w:ind w:left="70" w:right="168"/>
            </w:pPr>
            <w:r>
              <w:rPr>
                <w:spacing w:val="1"/>
              </w:rPr>
              <w:t>区退役军人</w:t>
            </w:r>
            <w:r>
              <w:rPr>
                <w:spacing w:val="3"/>
              </w:rPr>
              <w:t xml:space="preserve"> </w:t>
            </w:r>
            <w:r>
              <w:t>局</w:t>
            </w:r>
          </w:p>
        </w:tc>
        <w:tc>
          <w:tcPr>
            <w:tcW w:w="2738"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pStyle w:val="6"/>
              <w:spacing w:before="71" w:line="273" w:lineRule="auto"/>
              <w:ind w:left="91" w:right="24" w:hanging="50"/>
            </w:pPr>
            <w:r>
              <w:rPr>
                <w:spacing w:val="1"/>
              </w:rPr>
              <w:t>帮扶困难退役军人和军属烈</w:t>
            </w:r>
            <w:r>
              <w:rPr>
                <w:spacing w:val="8"/>
              </w:rPr>
              <w:t xml:space="preserve"> </w:t>
            </w:r>
            <w:r>
              <w:t>属90人。</w:t>
            </w:r>
          </w:p>
        </w:tc>
        <w:tc>
          <w:tcPr>
            <w:tcW w:w="7074" w:type="dxa"/>
            <w:vAlign w:val="top"/>
          </w:tcPr>
          <w:p>
            <w:pPr>
              <w:pStyle w:val="6"/>
              <w:spacing w:before="95" w:line="271" w:lineRule="auto"/>
              <w:ind w:left="113" w:firstLine="119"/>
            </w:pPr>
            <w:r>
              <w:t xml:space="preserve">(1)依托乡镇(街道)、村(社区)退役军人服务站，落实“周探望、月走  </w:t>
            </w:r>
            <w:r>
              <w:rPr>
                <w:spacing w:val="-9"/>
              </w:rPr>
              <w:t>访、季联络”常态化联系服务机制。通过日</w:t>
            </w:r>
            <w:r>
              <w:rPr>
                <w:spacing w:val="-10"/>
              </w:rPr>
              <w:t>常走访、数据比对、信息核查等</w:t>
            </w:r>
            <w:r>
              <w:t xml:space="preserve"> </w:t>
            </w:r>
            <w:r>
              <w:rPr>
                <w:spacing w:val="-10"/>
              </w:rPr>
              <w:t>方式，主动发现、精准识别生活、医疗、就业、教育、住房等方面存在特殊</w:t>
            </w:r>
            <w:r>
              <w:rPr>
                <w:spacing w:val="17"/>
              </w:rPr>
              <w:t xml:space="preserve"> </w:t>
            </w:r>
            <w:r>
              <w:rPr>
                <w:spacing w:val="-10"/>
              </w:rPr>
              <w:t>困难的退役军人和军属烈属。依托全国困难退役军人帮扶援助系统，建立健</w:t>
            </w:r>
            <w:r>
              <w:rPr>
                <w:spacing w:val="17"/>
              </w:rPr>
              <w:t xml:space="preserve"> </w:t>
            </w:r>
            <w:r>
              <w:rPr>
                <w:spacing w:val="-10"/>
              </w:rPr>
              <w:t>全“一人一档”动态管理台账，详细记录困难情况、帮扶需求及措施落实进</w:t>
            </w:r>
            <w:r>
              <w:rPr>
                <w:spacing w:val="17"/>
              </w:rPr>
              <w:t xml:space="preserve"> </w:t>
            </w:r>
            <w:r>
              <w:t>展，为精准施策奠定基础。</w:t>
            </w:r>
          </w:p>
          <w:p>
            <w:pPr>
              <w:pStyle w:val="6"/>
              <w:spacing w:before="47" w:line="256" w:lineRule="auto"/>
              <w:ind w:left="113" w:firstLine="129"/>
            </w:pPr>
            <w:r>
              <w:rPr>
                <w:spacing w:val="-4"/>
              </w:rPr>
              <w:t>(2)加强与教育、民政、人社、住建、卫健、医保等部门的协同联动，在</w:t>
            </w:r>
            <w:r>
              <w:rPr>
                <w:spacing w:val="18"/>
              </w:rPr>
              <w:t xml:space="preserve"> </w:t>
            </w:r>
            <w:r>
              <w:rPr>
                <w:spacing w:val="-10"/>
              </w:rPr>
              <w:t>用好用足帮扶政策的同时，主动协助符合条件的帮扶对象申请社会救助、医</w:t>
            </w:r>
            <w:r>
              <w:rPr>
                <w:spacing w:val="17"/>
              </w:rPr>
              <w:t xml:space="preserve"> </w:t>
            </w:r>
            <w:r>
              <w:rPr>
                <w:spacing w:val="-6"/>
              </w:rPr>
              <w:t>疗救助、教育资助、住房保障等社会普惠性政策，形成“普惠</w:t>
            </w:r>
            <w:r>
              <w:rPr>
                <w:spacing w:val="-7"/>
              </w:rPr>
              <w:t>+优待”的叠</w:t>
            </w:r>
            <w:r>
              <w:t xml:space="preserve"> </w:t>
            </w:r>
            <w:r>
              <w:rPr>
                <w:spacing w:val="-9"/>
              </w:rPr>
              <w:t>加效应。持续深化“爱心送进光荣门”“情</w:t>
            </w:r>
            <w:r>
              <w:rPr>
                <w:spacing w:val="-10"/>
              </w:rPr>
              <w:t>暖老兵”等品牌活动扶品牌活动</w:t>
            </w:r>
            <w:r>
              <w:t xml:space="preserve"> </w:t>
            </w:r>
            <w:r>
              <w:rPr>
                <w:spacing w:val="2"/>
              </w:rPr>
              <w:t>内涵，提升帮扶温度。</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2" w:hRule="atLeast"/>
        </w:trPr>
        <w:tc>
          <w:tcPr>
            <w:tcW w:w="674"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6"/>
              <w:spacing w:before="72"/>
              <w:ind w:left="274"/>
            </w:pPr>
            <w:r>
              <w:t>9</w:t>
            </w:r>
          </w:p>
        </w:tc>
        <w:tc>
          <w:tcPr>
            <w:tcW w:w="1359"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72" w:line="219" w:lineRule="auto"/>
              <w:ind w:left="70"/>
            </w:pPr>
            <w:r>
              <w:rPr>
                <w:spacing w:val="4"/>
              </w:rPr>
              <w:t>区教育局</w:t>
            </w:r>
          </w:p>
        </w:tc>
        <w:tc>
          <w:tcPr>
            <w:tcW w:w="2738"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6"/>
              <w:spacing w:before="71" w:line="245" w:lineRule="auto"/>
              <w:ind w:left="81" w:right="255" w:firstLine="180"/>
            </w:pPr>
            <w:r>
              <w:rPr>
                <w:spacing w:val="1"/>
              </w:rPr>
              <w:t>资助家庭经济困难学生</w:t>
            </w:r>
            <w:r>
              <w:t xml:space="preserve"> 4953人次。</w:t>
            </w:r>
          </w:p>
        </w:tc>
        <w:tc>
          <w:tcPr>
            <w:tcW w:w="7074" w:type="dxa"/>
            <w:vAlign w:val="top"/>
          </w:tcPr>
          <w:p>
            <w:pPr>
              <w:pStyle w:val="6"/>
              <w:spacing w:before="105" w:line="261" w:lineRule="auto"/>
              <w:ind w:left="113" w:firstLine="129"/>
            </w:pPr>
            <w:r>
              <w:rPr>
                <w:spacing w:val="-4"/>
              </w:rPr>
              <w:t>(1)加强与民政、农业农村等部门的信息数据共享，对特殊困难家庭学生</w:t>
            </w:r>
            <w:r>
              <w:rPr>
                <w:spacing w:val="18"/>
              </w:rPr>
              <w:t xml:space="preserve"> </w:t>
            </w:r>
            <w:r>
              <w:rPr>
                <w:spacing w:val="-9"/>
              </w:rPr>
              <w:t>进行动态监测、及时发现、主动资助。按照</w:t>
            </w:r>
            <w:r>
              <w:rPr>
                <w:spacing w:val="-10"/>
              </w:rPr>
              <w:t>国家政策要求，做好各类奖助项</w:t>
            </w:r>
            <w:r>
              <w:t xml:space="preserve"> 目的评审发放，确保公开、公平、公正，及时足额发放资助资金。</w:t>
            </w:r>
          </w:p>
          <w:p>
            <w:pPr>
              <w:pStyle w:val="6"/>
              <w:spacing w:before="67" w:line="251" w:lineRule="auto"/>
              <w:ind w:left="123" w:firstLine="119"/>
            </w:pPr>
            <w:r>
              <w:rPr>
                <w:spacing w:val="-3"/>
              </w:rPr>
              <w:t>(2)完善学生资助信息发布制度，组织撰写学</w:t>
            </w:r>
            <w:r>
              <w:rPr>
                <w:spacing w:val="-4"/>
              </w:rPr>
              <w:t>生资助年度发展报告。在中</w:t>
            </w:r>
            <w:r>
              <w:t xml:space="preserve"> </w:t>
            </w:r>
            <w:r>
              <w:rPr>
                <w:spacing w:val="-10"/>
              </w:rPr>
              <w:t>高考、招生录取、新生开学等关键时间节点，通过寄发致初、高中毕业生的</w:t>
            </w:r>
            <w:r>
              <w:rPr>
                <w:spacing w:val="1"/>
              </w:rPr>
              <w:t xml:space="preserve"> </w:t>
            </w:r>
            <w:r>
              <w:rPr>
                <w:spacing w:val="-10"/>
              </w:rPr>
              <w:t>两封信、上好资助政策班会课、印发资助政策指南、开通热线电话</w:t>
            </w:r>
            <w:r>
              <w:rPr>
                <w:spacing w:val="-11"/>
              </w:rPr>
              <w:t>、政策在</w:t>
            </w:r>
            <w:r>
              <w:t xml:space="preserve"> </w:t>
            </w:r>
            <w:r>
              <w:rPr>
                <w:spacing w:val="-1"/>
              </w:rPr>
              <w:t>线咨询等方式，加强资助政策、资助成效的宣传。</w:t>
            </w:r>
          </w:p>
        </w:tc>
        <w:tc>
          <w:tcPr>
            <w:tcW w:w="1094" w:type="dxa"/>
            <w:vAlign w:val="top"/>
          </w:tcPr>
          <w:p>
            <w:pPr>
              <w:rPr>
                <w:rFonts w:ascii="Arial"/>
                <w:sz w:val="21"/>
              </w:rPr>
            </w:pPr>
          </w:p>
        </w:tc>
      </w:tr>
    </w:tbl>
    <w:p>
      <w:pPr>
        <w:pStyle w:val="2"/>
      </w:pPr>
    </w:p>
    <w:p>
      <w:pPr>
        <w:sectPr>
          <w:footerReference r:id="rId7" w:type="default"/>
          <w:pgSz w:w="16830" w:h="11900"/>
          <w:pgMar w:top="1011" w:right="2005" w:bottom="1294" w:left="1875" w:header="0" w:footer="970" w:gutter="0"/>
          <w:cols w:space="720" w:num="1"/>
        </w:sectPr>
      </w:pPr>
    </w:p>
    <w:p>
      <w:pPr>
        <w:spacing w:before="202"/>
      </w:pPr>
    </w:p>
    <w:tbl>
      <w:tblPr>
        <w:tblStyle w:val="5"/>
        <w:tblW w:w="12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359"/>
        <w:gridCol w:w="2738"/>
        <w:gridCol w:w="7064"/>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64" w:type="dxa"/>
            <w:vAlign w:val="top"/>
          </w:tcPr>
          <w:p>
            <w:pPr>
              <w:pStyle w:val="6"/>
              <w:spacing w:before="245" w:line="221" w:lineRule="auto"/>
              <w:ind w:left="104"/>
            </w:pPr>
            <w:r>
              <w:rPr>
                <w:spacing w:val="6"/>
              </w:rPr>
              <w:t>序号</w:t>
            </w:r>
          </w:p>
        </w:tc>
        <w:tc>
          <w:tcPr>
            <w:tcW w:w="1359" w:type="dxa"/>
            <w:vAlign w:val="top"/>
          </w:tcPr>
          <w:p>
            <w:pPr>
              <w:pStyle w:val="6"/>
              <w:spacing w:before="242" w:line="219" w:lineRule="auto"/>
              <w:ind w:left="250"/>
            </w:pPr>
            <w:r>
              <w:rPr>
                <w:spacing w:val="-2"/>
              </w:rPr>
              <w:t>牵头单位</w:t>
            </w:r>
          </w:p>
        </w:tc>
        <w:tc>
          <w:tcPr>
            <w:tcW w:w="2738" w:type="dxa"/>
            <w:vAlign w:val="top"/>
          </w:tcPr>
          <w:p>
            <w:pPr>
              <w:pStyle w:val="6"/>
              <w:spacing w:before="244" w:line="219" w:lineRule="auto"/>
              <w:ind w:left="621"/>
            </w:pPr>
            <w:r>
              <w:rPr>
                <w:spacing w:val="-15"/>
              </w:rPr>
              <w:t>实</w:t>
            </w:r>
            <w:r>
              <w:rPr>
                <w:spacing w:val="108"/>
              </w:rPr>
              <w:t xml:space="preserve"> </w:t>
            </w:r>
            <w:r>
              <w:rPr>
                <w:spacing w:val="-15"/>
              </w:rPr>
              <w:t>施</w:t>
            </w:r>
            <w:r>
              <w:rPr>
                <w:spacing w:val="11"/>
              </w:rPr>
              <w:t xml:space="preserve">  </w:t>
            </w:r>
            <w:r>
              <w:rPr>
                <w:spacing w:val="-15"/>
              </w:rPr>
              <w:t>内</w:t>
            </w:r>
            <w:r>
              <w:rPr>
                <w:spacing w:val="111"/>
              </w:rPr>
              <w:t xml:space="preserve"> </w:t>
            </w:r>
            <w:r>
              <w:rPr>
                <w:spacing w:val="-15"/>
              </w:rPr>
              <w:t>容</w:t>
            </w:r>
          </w:p>
        </w:tc>
        <w:tc>
          <w:tcPr>
            <w:tcW w:w="7064" w:type="dxa"/>
            <w:vAlign w:val="top"/>
          </w:tcPr>
          <w:p>
            <w:pPr>
              <w:pStyle w:val="6"/>
              <w:spacing w:before="244" w:line="220" w:lineRule="auto"/>
              <w:ind w:left="2783"/>
            </w:pPr>
            <w:r>
              <w:rPr>
                <w:spacing w:val="-6"/>
              </w:rPr>
              <w:t>推</w:t>
            </w:r>
            <w:r>
              <w:rPr>
                <w:spacing w:val="32"/>
              </w:rPr>
              <w:t xml:space="preserve">  </w:t>
            </w:r>
            <w:r>
              <w:rPr>
                <w:spacing w:val="-6"/>
              </w:rPr>
              <w:t>进</w:t>
            </w:r>
            <w:r>
              <w:rPr>
                <w:spacing w:val="33"/>
              </w:rPr>
              <w:t xml:space="preserve">  </w:t>
            </w:r>
            <w:r>
              <w:rPr>
                <w:spacing w:val="-6"/>
              </w:rPr>
              <w:t>措</w:t>
            </w:r>
            <w:r>
              <w:rPr>
                <w:spacing w:val="-19"/>
              </w:rPr>
              <w:t xml:space="preserve"> </w:t>
            </w:r>
            <w:r>
              <w:rPr>
                <w:spacing w:val="-6"/>
              </w:rPr>
              <w:t>施</w:t>
            </w:r>
          </w:p>
        </w:tc>
        <w:tc>
          <w:tcPr>
            <w:tcW w:w="1084" w:type="dxa"/>
            <w:vAlign w:val="top"/>
          </w:tcPr>
          <w:p>
            <w:pPr>
              <w:pStyle w:val="6"/>
              <w:spacing w:before="242" w:line="221" w:lineRule="auto"/>
              <w:ind w:left="213"/>
            </w:pPr>
            <w:r>
              <w:rPr>
                <w:b/>
                <w:bCs/>
                <w:spacing w:val="-8"/>
              </w:rPr>
              <w:t>备</w:t>
            </w:r>
            <w:r>
              <w:rPr>
                <w:spacing w:val="11"/>
              </w:rPr>
              <w:t xml:space="preserve"> </w:t>
            </w:r>
            <w:r>
              <w:rPr>
                <w:b/>
                <w:bCs/>
                <w:spacing w:val="-8"/>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664" w:type="dxa"/>
            <w:vAlign w:val="top"/>
          </w:tcPr>
          <w:p>
            <w:pPr>
              <w:spacing w:line="283" w:lineRule="auto"/>
              <w:rPr>
                <w:rFonts w:ascii="Arial"/>
                <w:sz w:val="21"/>
              </w:rPr>
            </w:pPr>
          </w:p>
          <w:p>
            <w:pPr>
              <w:spacing w:line="283" w:lineRule="auto"/>
              <w:rPr>
                <w:rFonts w:ascii="Arial"/>
                <w:sz w:val="21"/>
              </w:rPr>
            </w:pPr>
          </w:p>
          <w:p>
            <w:pPr>
              <w:pStyle w:val="6"/>
              <w:spacing w:before="71"/>
              <w:ind w:left="214"/>
            </w:pPr>
            <w:r>
              <w:rPr>
                <w:spacing w:val="-7"/>
              </w:rPr>
              <w:t>10</w:t>
            </w:r>
          </w:p>
        </w:tc>
        <w:tc>
          <w:tcPr>
            <w:tcW w:w="1359" w:type="dxa"/>
            <w:vAlign w:val="top"/>
          </w:tcPr>
          <w:p>
            <w:pPr>
              <w:spacing w:line="273" w:lineRule="auto"/>
              <w:rPr>
                <w:rFonts w:ascii="Arial"/>
                <w:sz w:val="21"/>
              </w:rPr>
            </w:pPr>
          </w:p>
          <w:p>
            <w:pPr>
              <w:spacing w:line="273" w:lineRule="auto"/>
              <w:rPr>
                <w:rFonts w:ascii="Arial"/>
                <w:sz w:val="21"/>
              </w:rPr>
            </w:pPr>
          </w:p>
          <w:p>
            <w:pPr>
              <w:pStyle w:val="6"/>
              <w:spacing w:before="71" w:line="221" w:lineRule="auto"/>
              <w:ind w:left="110"/>
            </w:pPr>
            <w:r>
              <w:rPr>
                <w:spacing w:val="2"/>
              </w:rPr>
              <w:t>区残联</w:t>
            </w:r>
          </w:p>
        </w:tc>
        <w:tc>
          <w:tcPr>
            <w:tcW w:w="2738" w:type="dxa"/>
            <w:vAlign w:val="top"/>
          </w:tcPr>
          <w:p>
            <w:pPr>
              <w:spacing w:line="425" w:lineRule="auto"/>
              <w:rPr>
                <w:rFonts w:ascii="Arial"/>
                <w:sz w:val="21"/>
              </w:rPr>
            </w:pPr>
          </w:p>
          <w:p>
            <w:pPr>
              <w:pStyle w:val="6"/>
              <w:spacing w:before="72" w:line="250" w:lineRule="auto"/>
              <w:ind w:left="81" w:right="26" w:hanging="40"/>
            </w:pPr>
            <w:r>
              <w:rPr>
                <w:spacing w:val="1"/>
              </w:rPr>
              <w:t>为残疾人提供托养服务不少</w:t>
            </w:r>
            <w:r>
              <w:rPr>
                <w:spacing w:val="6"/>
              </w:rPr>
              <w:t xml:space="preserve"> </w:t>
            </w:r>
            <w:r>
              <w:t>于92人。</w:t>
            </w:r>
          </w:p>
        </w:tc>
        <w:tc>
          <w:tcPr>
            <w:tcW w:w="7064" w:type="dxa"/>
            <w:vAlign w:val="top"/>
          </w:tcPr>
          <w:p>
            <w:pPr>
              <w:pStyle w:val="6"/>
              <w:spacing w:before="78" w:line="227" w:lineRule="auto"/>
              <w:ind w:left="103" w:firstLine="118"/>
            </w:pPr>
            <w:r>
              <w:rPr>
                <w:spacing w:val="-9"/>
              </w:rPr>
              <w:t>(1)通过寄宿托养、日间照料或居家托养等</w:t>
            </w:r>
            <w:r>
              <w:rPr>
                <w:spacing w:val="-10"/>
              </w:rPr>
              <w:t>多种形式，为就业年龄段智力、</w:t>
            </w:r>
            <w:r>
              <w:t xml:space="preserve"> </w:t>
            </w:r>
            <w:r>
              <w:rPr>
                <w:spacing w:val="-4"/>
              </w:rPr>
              <w:t>精神和重度肢体残疾人提供托养服务。</w:t>
            </w:r>
          </w:p>
          <w:p>
            <w:pPr>
              <w:pStyle w:val="6"/>
              <w:spacing w:before="21" w:line="223" w:lineRule="auto"/>
              <w:ind w:left="103" w:firstLine="129"/>
            </w:pPr>
            <w:r>
              <w:t xml:space="preserve">(2)寄宿制托养服务每人每年补贴12000元，日间照料托养服务每人每年 </w:t>
            </w:r>
            <w:r>
              <w:rPr>
                <w:spacing w:val="-3"/>
              </w:rPr>
              <w:t>补贴4000元，居家托养服务每人每年补贴2000元。由省级和市、区政府从</w:t>
            </w:r>
            <w:r>
              <w:rPr>
                <w:spacing w:val="16"/>
              </w:rPr>
              <w:t xml:space="preserve"> </w:t>
            </w:r>
            <w:r>
              <w:t>财政安排的残疾人事业发展补助资金中统筹安排。</w:t>
            </w:r>
          </w:p>
        </w:tc>
        <w:tc>
          <w:tcPr>
            <w:tcW w:w="10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8" w:hRule="atLeast"/>
        </w:trPr>
        <w:tc>
          <w:tcPr>
            <w:tcW w:w="664" w:type="dxa"/>
            <w:vAlign w:val="top"/>
          </w:tcPr>
          <w:p>
            <w:pPr>
              <w:spacing w:line="354" w:lineRule="auto"/>
              <w:rPr>
                <w:rFonts w:ascii="Arial"/>
                <w:sz w:val="21"/>
              </w:rPr>
            </w:pPr>
          </w:p>
          <w:p>
            <w:pPr>
              <w:spacing w:line="354" w:lineRule="auto"/>
              <w:rPr>
                <w:rFonts w:ascii="Arial"/>
                <w:sz w:val="21"/>
              </w:rPr>
            </w:pPr>
          </w:p>
          <w:p>
            <w:pPr>
              <w:pStyle w:val="6"/>
              <w:spacing w:before="71" w:line="241" w:lineRule="auto"/>
              <w:ind w:left="214"/>
            </w:pPr>
            <w:r>
              <w:rPr>
                <w:spacing w:val="-7"/>
              </w:rPr>
              <w:t>11</w:t>
            </w:r>
          </w:p>
        </w:tc>
        <w:tc>
          <w:tcPr>
            <w:tcW w:w="1359" w:type="dxa"/>
            <w:vAlign w:val="top"/>
          </w:tcPr>
          <w:p>
            <w:pPr>
              <w:spacing w:line="343" w:lineRule="auto"/>
              <w:rPr>
                <w:rFonts w:ascii="Arial"/>
                <w:sz w:val="21"/>
              </w:rPr>
            </w:pPr>
          </w:p>
          <w:p>
            <w:pPr>
              <w:spacing w:line="344" w:lineRule="auto"/>
              <w:rPr>
                <w:rFonts w:ascii="Arial"/>
                <w:sz w:val="21"/>
              </w:rPr>
            </w:pPr>
          </w:p>
          <w:p>
            <w:pPr>
              <w:pStyle w:val="6"/>
              <w:spacing w:before="71" w:line="221" w:lineRule="auto"/>
              <w:ind w:left="110"/>
            </w:pPr>
            <w:r>
              <w:rPr>
                <w:spacing w:val="2"/>
              </w:rPr>
              <w:t>区残联</w:t>
            </w:r>
          </w:p>
        </w:tc>
        <w:tc>
          <w:tcPr>
            <w:tcW w:w="2738" w:type="dxa"/>
            <w:vAlign w:val="top"/>
          </w:tcPr>
          <w:p>
            <w:pPr>
              <w:spacing w:line="278" w:lineRule="auto"/>
              <w:rPr>
                <w:rFonts w:ascii="Arial"/>
                <w:sz w:val="21"/>
              </w:rPr>
            </w:pPr>
          </w:p>
          <w:p>
            <w:pPr>
              <w:spacing w:line="279" w:lineRule="auto"/>
              <w:rPr>
                <w:rFonts w:ascii="Arial"/>
                <w:sz w:val="21"/>
              </w:rPr>
            </w:pPr>
          </w:p>
          <w:p>
            <w:pPr>
              <w:pStyle w:val="6"/>
              <w:spacing w:before="72" w:line="253" w:lineRule="auto"/>
              <w:ind w:left="91" w:right="95"/>
            </w:pPr>
            <w:r>
              <w:t>为6户困难重度残疾人家庭</w:t>
            </w:r>
            <w:r>
              <w:rPr>
                <w:spacing w:val="9"/>
              </w:rPr>
              <w:t xml:space="preserve"> </w:t>
            </w:r>
            <w:r>
              <w:t>实施无障碍改造。</w:t>
            </w:r>
          </w:p>
        </w:tc>
        <w:tc>
          <w:tcPr>
            <w:tcW w:w="7064" w:type="dxa"/>
            <w:vAlign w:val="top"/>
          </w:tcPr>
          <w:p>
            <w:pPr>
              <w:pStyle w:val="6"/>
              <w:spacing w:before="52" w:line="238" w:lineRule="auto"/>
              <w:ind w:left="103" w:firstLine="128"/>
            </w:pPr>
            <w:r>
              <w:rPr>
                <w:spacing w:val="-3"/>
              </w:rPr>
              <w:t>(1)优先为“一户多残”“以老养残”等困难重度</w:t>
            </w:r>
            <w:r>
              <w:rPr>
                <w:spacing w:val="-4"/>
              </w:rPr>
              <w:t>残疾人家庭实施改造，</w:t>
            </w:r>
            <w:r>
              <w:t xml:space="preserve"> </w:t>
            </w:r>
            <w:r>
              <w:rPr>
                <w:spacing w:val="-16"/>
              </w:rPr>
              <w:t>完善和规范设计、施工、验收等工作流程，增强改造的个性化、人性化水平，</w:t>
            </w:r>
            <w:r>
              <w:rPr>
                <w:spacing w:val="13"/>
              </w:rPr>
              <w:t xml:space="preserve"> </w:t>
            </w:r>
            <w:r>
              <w:rPr>
                <w:spacing w:val="-3"/>
              </w:rPr>
              <w:t>提升改造质量。</w:t>
            </w:r>
          </w:p>
          <w:p>
            <w:pPr>
              <w:pStyle w:val="6"/>
              <w:spacing w:before="18" w:line="227" w:lineRule="auto"/>
              <w:ind w:left="114" w:firstLine="109"/>
            </w:pPr>
            <w:r>
              <w:rPr>
                <w:spacing w:val="-3"/>
              </w:rPr>
              <w:t>(2)省级以上财政对困难重度残疾人家庭无障碍改造给予适当补助，</w:t>
            </w:r>
            <w:r>
              <w:rPr>
                <w:spacing w:val="-4"/>
              </w:rPr>
              <w:t>不足</w:t>
            </w:r>
            <w:r>
              <w:t xml:space="preserve"> </w:t>
            </w:r>
            <w:r>
              <w:rPr>
                <w:spacing w:val="-1"/>
              </w:rPr>
              <w:t>部分由市、区财政承担。</w:t>
            </w:r>
          </w:p>
          <w:p>
            <w:pPr>
              <w:pStyle w:val="6"/>
              <w:spacing w:before="28" w:line="190" w:lineRule="auto"/>
              <w:ind w:left="203"/>
            </w:pPr>
            <w:r>
              <w:t>(3)加强监管，严格资金使用管理，提高改造绩</w:t>
            </w:r>
            <w:r>
              <w:rPr>
                <w:spacing w:val="-1"/>
              </w:rPr>
              <w:t>效。</w:t>
            </w:r>
          </w:p>
        </w:tc>
        <w:tc>
          <w:tcPr>
            <w:tcW w:w="10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trPr>
        <w:tc>
          <w:tcPr>
            <w:tcW w:w="664"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6"/>
              <w:spacing w:before="72" w:line="241" w:lineRule="auto"/>
              <w:ind w:left="214"/>
            </w:pPr>
            <w:r>
              <w:rPr>
                <w:spacing w:val="-7"/>
              </w:rPr>
              <w:t>12</w:t>
            </w:r>
          </w:p>
        </w:tc>
        <w:tc>
          <w:tcPr>
            <w:tcW w:w="1359" w:type="dxa"/>
            <w:vAlign w:val="top"/>
          </w:tcPr>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6"/>
              <w:spacing w:before="72" w:line="219" w:lineRule="auto"/>
              <w:ind w:left="110"/>
            </w:pPr>
            <w:r>
              <w:rPr>
                <w:spacing w:val="4"/>
              </w:rPr>
              <w:t>区教育局</w:t>
            </w:r>
          </w:p>
        </w:tc>
        <w:tc>
          <w:tcPr>
            <w:tcW w:w="2738"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6"/>
              <w:spacing w:before="71" w:line="219" w:lineRule="auto"/>
              <w:ind w:left="41"/>
            </w:pPr>
            <w:r>
              <w:t>义务教育阶段学生每天综合</w:t>
            </w:r>
          </w:p>
          <w:p>
            <w:pPr>
              <w:pStyle w:val="6"/>
              <w:spacing w:before="39" w:line="241" w:lineRule="auto"/>
              <w:ind w:left="41" w:right="34" w:firstLine="160"/>
            </w:pPr>
            <w:r>
              <w:rPr>
                <w:spacing w:val="1"/>
              </w:rPr>
              <w:t>体育活动时间不低于2小</w:t>
            </w:r>
            <w:r>
              <w:rPr>
                <w:spacing w:val="3"/>
              </w:rPr>
              <w:t xml:space="preserve">  </w:t>
            </w:r>
            <w:r>
              <w:t>时。新增义务教育学校午休</w:t>
            </w:r>
            <w:r>
              <w:rPr>
                <w:spacing w:val="10"/>
              </w:rPr>
              <w:t xml:space="preserve"> </w:t>
            </w:r>
            <w:r>
              <w:rPr>
                <w:spacing w:val="8"/>
              </w:rPr>
              <w:t>躺睡装备40套。</w:t>
            </w:r>
          </w:p>
        </w:tc>
        <w:tc>
          <w:tcPr>
            <w:tcW w:w="7064" w:type="dxa"/>
            <w:vAlign w:val="top"/>
          </w:tcPr>
          <w:p>
            <w:pPr>
              <w:pStyle w:val="6"/>
              <w:spacing w:before="41" w:line="242" w:lineRule="auto"/>
              <w:ind w:left="103" w:firstLine="108"/>
            </w:pPr>
            <w:r>
              <w:rPr>
                <w:spacing w:val="-9"/>
              </w:rPr>
              <w:t>(1)增加学生综合锻炼时长，义务教育阶段学校每天开设一节体育</w:t>
            </w:r>
            <w:r>
              <w:rPr>
                <w:spacing w:val="-10"/>
              </w:rPr>
              <w:t>课，上、</w:t>
            </w:r>
            <w:r>
              <w:t xml:space="preserve"> </w:t>
            </w:r>
            <w:r>
              <w:rPr>
                <w:spacing w:val="-6"/>
              </w:rPr>
              <w:t>下午各开设一次30分钟大课间体育活动，落实课间15分钟，保障中小学生</w:t>
            </w:r>
            <w:r>
              <w:rPr>
                <w:spacing w:val="7"/>
              </w:rPr>
              <w:t xml:space="preserve">  </w:t>
            </w:r>
            <w:r>
              <w:rPr>
                <w:spacing w:val="-9"/>
              </w:rPr>
              <w:t>每天综合体育活动时间不低于2小时，帮助学生在体育锻炼中享受乐趣、增</w:t>
            </w:r>
            <w:r>
              <w:rPr>
                <w:spacing w:val="2"/>
              </w:rPr>
              <w:t xml:space="preserve">  </w:t>
            </w:r>
            <w:r>
              <w:rPr>
                <w:spacing w:val="-2"/>
              </w:rPr>
              <w:t>强体质、健全人格、锤炼意志。</w:t>
            </w:r>
          </w:p>
          <w:p>
            <w:pPr>
              <w:pStyle w:val="6"/>
              <w:spacing w:before="18" w:line="237" w:lineRule="auto"/>
              <w:ind w:left="103" w:firstLine="119"/>
            </w:pPr>
            <w:r>
              <w:rPr>
                <w:spacing w:val="-4"/>
              </w:rPr>
              <w:t>(2)统筹义务教育薄弱环节改善和能力提升、农村义务教育阶段学校校舍</w:t>
            </w:r>
            <w:r>
              <w:rPr>
                <w:spacing w:val="1"/>
              </w:rPr>
              <w:t xml:space="preserve"> </w:t>
            </w:r>
            <w:r>
              <w:rPr>
                <w:spacing w:val="-10"/>
              </w:rPr>
              <w:t>安全保障长效机制、改善普通高中办学条件等项目资金，加大中小</w:t>
            </w:r>
            <w:r>
              <w:rPr>
                <w:spacing w:val="-11"/>
              </w:rPr>
              <w:t>学校体育</w:t>
            </w:r>
            <w:r>
              <w:t xml:space="preserve"> </w:t>
            </w:r>
            <w:r>
              <w:rPr>
                <w:spacing w:val="-9"/>
              </w:rPr>
              <w:t>场馆、设施设备等建设和改造提升，落实完</w:t>
            </w:r>
            <w:r>
              <w:rPr>
                <w:spacing w:val="-10"/>
              </w:rPr>
              <w:t>成义务教育学校午休躺睡装备目</w:t>
            </w:r>
            <w:r>
              <w:t xml:space="preserve"> </w:t>
            </w:r>
            <w:r>
              <w:rPr>
                <w:spacing w:val="-1"/>
              </w:rPr>
              <w:t>标任务，为学生提供舒适安全的午休环境。</w:t>
            </w:r>
          </w:p>
          <w:p>
            <w:pPr>
              <w:pStyle w:val="6"/>
              <w:spacing w:before="20" w:line="211" w:lineRule="auto"/>
              <w:ind w:left="133" w:firstLine="109"/>
            </w:pPr>
            <w:r>
              <w:rPr>
                <w:spacing w:val="-4"/>
              </w:rPr>
              <w:t>(3)统筹学校公用经费，足额保障学校日常体育教育教学和开展相关活动</w:t>
            </w:r>
            <w:r>
              <w:rPr>
                <w:spacing w:val="11"/>
              </w:rPr>
              <w:t xml:space="preserve"> </w:t>
            </w:r>
            <w:r>
              <w:rPr>
                <w:spacing w:val="-1"/>
              </w:rPr>
              <w:t>工作经费。</w:t>
            </w:r>
          </w:p>
        </w:tc>
        <w:tc>
          <w:tcPr>
            <w:tcW w:w="10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3" w:hRule="atLeast"/>
        </w:trPr>
        <w:tc>
          <w:tcPr>
            <w:tcW w:w="664"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71"/>
              <w:ind w:left="214"/>
            </w:pPr>
            <w:r>
              <w:rPr>
                <w:spacing w:val="-7"/>
              </w:rPr>
              <w:t>13</w:t>
            </w:r>
          </w:p>
        </w:tc>
        <w:tc>
          <w:tcPr>
            <w:tcW w:w="1359" w:type="dxa"/>
            <w:vAlign w:val="top"/>
          </w:tcPr>
          <w:p>
            <w:pPr>
              <w:spacing w:line="355" w:lineRule="auto"/>
              <w:rPr>
                <w:rFonts w:ascii="Arial"/>
                <w:sz w:val="21"/>
              </w:rPr>
            </w:pPr>
          </w:p>
          <w:p>
            <w:pPr>
              <w:spacing w:line="356" w:lineRule="auto"/>
              <w:rPr>
                <w:rFonts w:ascii="Arial"/>
                <w:sz w:val="21"/>
              </w:rPr>
            </w:pPr>
          </w:p>
          <w:p>
            <w:pPr>
              <w:pStyle w:val="6"/>
              <w:spacing w:before="71" w:line="219" w:lineRule="auto"/>
              <w:ind w:left="110"/>
            </w:pPr>
            <w:r>
              <w:rPr>
                <w:spacing w:val="4"/>
              </w:rPr>
              <w:t>区教育局</w:t>
            </w:r>
          </w:p>
        </w:tc>
        <w:tc>
          <w:tcPr>
            <w:tcW w:w="2738" w:type="dxa"/>
            <w:vAlign w:val="top"/>
          </w:tcPr>
          <w:p>
            <w:pPr>
              <w:spacing w:line="283" w:lineRule="auto"/>
              <w:rPr>
                <w:rFonts w:ascii="Arial"/>
                <w:sz w:val="21"/>
              </w:rPr>
            </w:pPr>
          </w:p>
          <w:p>
            <w:pPr>
              <w:pStyle w:val="6"/>
              <w:spacing w:before="72" w:line="219" w:lineRule="auto"/>
              <w:ind w:left="91"/>
            </w:pPr>
            <w:r>
              <w:rPr>
                <w:spacing w:val="-1"/>
              </w:rPr>
              <w:t>新增普高学位100个，加快</w:t>
            </w:r>
          </w:p>
          <w:p>
            <w:pPr>
              <w:pStyle w:val="6"/>
              <w:spacing w:before="37" w:line="259" w:lineRule="auto"/>
              <w:ind w:left="91" w:right="106" w:firstLine="110"/>
              <w:jc w:val="both"/>
            </w:pPr>
            <w:r>
              <w:rPr>
                <w:spacing w:val="-1"/>
              </w:rPr>
              <w:t>扩大普通高中招生规模，</w:t>
            </w:r>
            <w:r>
              <w:rPr>
                <w:spacing w:val="9"/>
              </w:rPr>
              <w:t xml:space="preserve"> </w:t>
            </w:r>
            <w:r>
              <w:rPr>
                <w:spacing w:val="5"/>
              </w:rPr>
              <w:t>2026年全区普通高中招生</w:t>
            </w:r>
            <w:r>
              <w:rPr>
                <w:spacing w:val="4"/>
              </w:rPr>
              <w:t xml:space="preserve"> </w:t>
            </w:r>
            <w:r>
              <w:t>比例不低于70%。</w:t>
            </w:r>
          </w:p>
        </w:tc>
        <w:tc>
          <w:tcPr>
            <w:tcW w:w="7064" w:type="dxa"/>
            <w:vAlign w:val="top"/>
          </w:tcPr>
          <w:p>
            <w:pPr>
              <w:pStyle w:val="6"/>
              <w:spacing w:before="66" w:line="231" w:lineRule="auto"/>
              <w:ind w:left="103" w:firstLine="129"/>
            </w:pPr>
            <w:r>
              <w:rPr>
                <w:spacing w:val="-3"/>
              </w:rPr>
              <w:t>(1)通过用满用足本校闲置校舍、合理转化等</w:t>
            </w:r>
            <w:r>
              <w:rPr>
                <w:spacing w:val="-4"/>
              </w:rPr>
              <w:t>方式加大普通高中学位资源</w:t>
            </w:r>
            <w:r>
              <w:t xml:space="preserve"> </w:t>
            </w:r>
            <w:r>
              <w:rPr>
                <w:spacing w:val="-1"/>
              </w:rPr>
              <w:t>供给。</w:t>
            </w:r>
          </w:p>
          <w:p>
            <w:pPr>
              <w:pStyle w:val="6"/>
              <w:spacing w:before="40" w:line="219" w:lineRule="auto"/>
              <w:jc w:val="right"/>
            </w:pPr>
            <w:r>
              <w:rPr>
                <w:spacing w:val="-3"/>
              </w:rPr>
              <w:t>(2)推进普通高中办学条件改善项目建设，持续改善普通高中办学条</w:t>
            </w:r>
            <w:r>
              <w:rPr>
                <w:spacing w:val="-4"/>
              </w:rPr>
              <w:t>件。</w:t>
            </w:r>
          </w:p>
          <w:p>
            <w:pPr>
              <w:pStyle w:val="6"/>
              <w:spacing w:before="57" w:line="223" w:lineRule="auto"/>
              <w:ind w:left="103" w:firstLine="119"/>
            </w:pPr>
            <w:r>
              <w:rPr>
                <w:spacing w:val="-3"/>
              </w:rPr>
              <w:t>(3)稳妥做好普通高中招生工作，落实高中阶段毛入学率、普通</w:t>
            </w:r>
            <w:r>
              <w:rPr>
                <w:spacing w:val="-4"/>
              </w:rPr>
              <w:t>高中录取</w:t>
            </w:r>
            <w:r>
              <w:t xml:space="preserve"> </w:t>
            </w:r>
            <w:r>
              <w:rPr>
                <w:spacing w:val="-9"/>
              </w:rPr>
              <w:t>率目标，科学编制普通高中招生计划，细化</w:t>
            </w:r>
            <w:r>
              <w:rPr>
                <w:spacing w:val="-10"/>
              </w:rPr>
              <w:t>到各招生单元和具体学校，稳妥</w:t>
            </w:r>
            <w:r>
              <w:t xml:space="preserve"> </w:t>
            </w:r>
            <w:r>
              <w:rPr>
                <w:spacing w:val="-1"/>
              </w:rPr>
              <w:t>扩大普通高中招生规模。</w:t>
            </w:r>
          </w:p>
        </w:tc>
        <w:tc>
          <w:tcPr>
            <w:tcW w:w="1084" w:type="dxa"/>
            <w:vAlign w:val="top"/>
          </w:tcPr>
          <w:p>
            <w:pPr>
              <w:rPr>
                <w:rFonts w:ascii="Arial"/>
                <w:sz w:val="21"/>
              </w:rPr>
            </w:pPr>
          </w:p>
        </w:tc>
      </w:tr>
    </w:tbl>
    <w:p>
      <w:pPr>
        <w:pStyle w:val="2"/>
      </w:pPr>
    </w:p>
    <w:p>
      <w:pPr>
        <w:sectPr>
          <w:footerReference r:id="rId8" w:type="default"/>
          <w:pgSz w:w="16830" w:h="11900"/>
          <w:pgMar w:top="1011" w:right="2125" w:bottom="1361" w:left="1785" w:header="0" w:footer="1102" w:gutter="0"/>
          <w:cols w:space="720" w:num="1"/>
        </w:sectPr>
      </w:pPr>
    </w:p>
    <w:p>
      <w:pPr>
        <w:spacing w:before="15"/>
      </w:pPr>
    </w:p>
    <w:p>
      <w:pPr>
        <w:spacing w:before="15"/>
      </w:pPr>
    </w:p>
    <w:tbl>
      <w:tblPr>
        <w:tblStyle w:val="5"/>
        <w:tblW w:w="12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359"/>
        <w:gridCol w:w="2748"/>
        <w:gridCol w:w="7064"/>
        <w:gridCol w:w="10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74" w:type="dxa"/>
            <w:vAlign w:val="top"/>
          </w:tcPr>
          <w:p>
            <w:pPr>
              <w:pStyle w:val="6"/>
              <w:spacing w:before="244" w:line="221" w:lineRule="auto"/>
              <w:ind w:left="114"/>
              <w:rPr>
                <w:sz w:val="21"/>
                <w:szCs w:val="21"/>
              </w:rPr>
            </w:pPr>
            <w:r>
              <w:rPr>
                <w:spacing w:val="6"/>
                <w:sz w:val="21"/>
                <w:szCs w:val="21"/>
              </w:rPr>
              <w:t>序号</w:t>
            </w:r>
          </w:p>
        </w:tc>
        <w:tc>
          <w:tcPr>
            <w:tcW w:w="1359" w:type="dxa"/>
            <w:vAlign w:val="top"/>
          </w:tcPr>
          <w:p>
            <w:pPr>
              <w:pStyle w:val="6"/>
              <w:spacing w:before="242" w:line="219" w:lineRule="auto"/>
              <w:ind w:left="260"/>
              <w:rPr>
                <w:sz w:val="21"/>
                <w:szCs w:val="21"/>
              </w:rPr>
            </w:pPr>
            <w:r>
              <w:rPr>
                <w:spacing w:val="-2"/>
                <w:sz w:val="21"/>
                <w:szCs w:val="21"/>
              </w:rPr>
              <w:t>牵头单位</w:t>
            </w:r>
          </w:p>
        </w:tc>
        <w:tc>
          <w:tcPr>
            <w:tcW w:w="2748" w:type="dxa"/>
            <w:vAlign w:val="top"/>
          </w:tcPr>
          <w:p>
            <w:pPr>
              <w:pStyle w:val="6"/>
              <w:spacing w:before="243" w:line="219" w:lineRule="auto"/>
              <w:ind w:left="611"/>
              <w:rPr>
                <w:sz w:val="21"/>
                <w:szCs w:val="21"/>
              </w:rPr>
            </w:pPr>
            <w:r>
              <w:rPr>
                <w:spacing w:val="-14"/>
                <w:sz w:val="21"/>
                <w:szCs w:val="21"/>
              </w:rPr>
              <w:t>实</w:t>
            </w:r>
            <w:r>
              <w:rPr>
                <w:spacing w:val="13"/>
                <w:sz w:val="21"/>
                <w:szCs w:val="21"/>
              </w:rPr>
              <w:t xml:space="preserve">  </w:t>
            </w:r>
            <w:r>
              <w:rPr>
                <w:spacing w:val="-14"/>
                <w:sz w:val="21"/>
                <w:szCs w:val="21"/>
              </w:rPr>
              <w:t>施</w:t>
            </w:r>
            <w:r>
              <w:rPr>
                <w:spacing w:val="25"/>
                <w:sz w:val="21"/>
                <w:szCs w:val="21"/>
              </w:rPr>
              <w:t xml:space="preserve">  </w:t>
            </w:r>
            <w:r>
              <w:rPr>
                <w:spacing w:val="-14"/>
                <w:sz w:val="21"/>
                <w:szCs w:val="21"/>
              </w:rPr>
              <w:t>内</w:t>
            </w:r>
            <w:r>
              <w:rPr>
                <w:spacing w:val="15"/>
                <w:sz w:val="21"/>
                <w:szCs w:val="21"/>
              </w:rPr>
              <w:t xml:space="preserve">  </w:t>
            </w:r>
            <w:r>
              <w:rPr>
                <w:spacing w:val="-14"/>
                <w:sz w:val="21"/>
                <w:szCs w:val="21"/>
              </w:rPr>
              <w:t>容</w:t>
            </w:r>
          </w:p>
        </w:tc>
        <w:tc>
          <w:tcPr>
            <w:tcW w:w="7064" w:type="dxa"/>
            <w:vAlign w:val="top"/>
          </w:tcPr>
          <w:p>
            <w:pPr>
              <w:pStyle w:val="6"/>
              <w:spacing w:before="241" w:line="220" w:lineRule="auto"/>
              <w:ind w:left="2776"/>
              <w:rPr>
                <w:sz w:val="21"/>
                <w:szCs w:val="21"/>
              </w:rPr>
            </w:pPr>
            <w:r>
              <w:rPr>
                <w:b/>
                <w:bCs/>
                <w:spacing w:val="-8"/>
                <w:sz w:val="21"/>
                <w:szCs w:val="21"/>
              </w:rPr>
              <w:t>推</w:t>
            </w:r>
            <w:r>
              <w:rPr>
                <w:spacing w:val="10"/>
                <w:sz w:val="21"/>
                <w:szCs w:val="21"/>
              </w:rPr>
              <w:t xml:space="preserve">  </w:t>
            </w:r>
            <w:r>
              <w:rPr>
                <w:b/>
                <w:bCs/>
                <w:spacing w:val="-8"/>
                <w:sz w:val="21"/>
                <w:szCs w:val="21"/>
              </w:rPr>
              <w:t>进</w:t>
            </w:r>
            <w:r>
              <w:rPr>
                <w:spacing w:val="11"/>
                <w:sz w:val="21"/>
                <w:szCs w:val="21"/>
              </w:rPr>
              <w:t xml:space="preserve">  </w:t>
            </w:r>
            <w:r>
              <w:rPr>
                <w:b/>
                <w:bCs/>
                <w:spacing w:val="-8"/>
                <w:sz w:val="21"/>
                <w:szCs w:val="21"/>
              </w:rPr>
              <w:t>措</w:t>
            </w:r>
            <w:r>
              <w:rPr>
                <w:spacing w:val="10"/>
                <w:sz w:val="21"/>
                <w:szCs w:val="21"/>
              </w:rPr>
              <w:t xml:space="preserve">  </w:t>
            </w:r>
            <w:r>
              <w:rPr>
                <w:b/>
                <w:bCs/>
                <w:spacing w:val="-8"/>
                <w:sz w:val="21"/>
                <w:szCs w:val="21"/>
              </w:rPr>
              <w:t>施</w:t>
            </w:r>
          </w:p>
        </w:tc>
        <w:tc>
          <w:tcPr>
            <w:tcW w:w="1094" w:type="dxa"/>
            <w:vAlign w:val="top"/>
          </w:tcPr>
          <w:p>
            <w:pPr>
              <w:pStyle w:val="6"/>
              <w:spacing w:before="241" w:line="221" w:lineRule="auto"/>
              <w:ind w:left="242"/>
              <w:rPr>
                <w:sz w:val="21"/>
                <w:szCs w:val="21"/>
              </w:rPr>
            </w:pPr>
            <w:r>
              <w:rPr>
                <w:b/>
                <w:bCs/>
                <w:spacing w:val="-8"/>
                <w:sz w:val="21"/>
                <w:szCs w:val="21"/>
              </w:rPr>
              <w:t>备</w:t>
            </w:r>
            <w:r>
              <w:rPr>
                <w:spacing w:val="8"/>
                <w:sz w:val="21"/>
                <w:szCs w:val="21"/>
              </w:rPr>
              <w:t xml:space="preserve"> </w:t>
            </w:r>
            <w:r>
              <w:rPr>
                <w:b/>
                <w:bCs/>
                <w:spacing w:val="-8"/>
                <w:sz w:val="21"/>
                <w:szCs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3" w:hRule="atLeast"/>
        </w:trPr>
        <w:tc>
          <w:tcPr>
            <w:tcW w:w="674"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6"/>
              <w:spacing w:before="68" w:line="241" w:lineRule="auto"/>
              <w:ind w:left="224"/>
              <w:rPr>
                <w:sz w:val="21"/>
                <w:szCs w:val="21"/>
              </w:rPr>
            </w:pPr>
            <w:r>
              <w:rPr>
                <w:spacing w:val="-6"/>
                <w:sz w:val="21"/>
                <w:szCs w:val="21"/>
              </w:rPr>
              <w:t>14</w:t>
            </w:r>
          </w:p>
        </w:tc>
        <w:tc>
          <w:tcPr>
            <w:tcW w:w="135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6"/>
              <w:spacing w:before="69" w:line="219" w:lineRule="auto"/>
              <w:ind w:left="100"/>
              <w:rPr>
                <w:sz w:val="21"/>
                <w:szCs w:val="21"/>
              </w:rPr>
            </w:pPr>
            <w:r>
              <w:rPr>
                <w:spacing w:val="4"/>
                <w:sz w:val="21"/>
                <w:szCs w:val="21"/>
              </w:rPr>
              <w:t>区教育局</w:t>
            </w:r>
          </w:p>
        </w:tc>
        <w:tc>
          <w:tcPr>
            <w:tcW w:w="2748" w:type="dxa"/>
            <w:vAlign w:val="top"/>
          </w:tcPr>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6"/>
              <w:spacing w:before="68" w:line="265" w:lineRule="auto"/>
              <w:ind w:left="92" w:right="124" w:firstLine="9"/>
              <w:jc w:val="both"/>
              <w:rPr>
                <w:sz w:val="21"/>
                <w:szCs w:val="21"/>
              </w:rPr>
            </w:pPr>
            <w:r>
              <w:rPr>
                <w:spacing w:val="-1"/>
                <w:sz w:val="21"/>
                <w:szCs w:val="21"/>
              </w:rPr>
              <w:t>根据省、市统一部署，对符</w:t>
            </w:r>
            <w:r>
              <w:rPr>
                <w:spacing w:val="2"/>
                <w:sz w:val="21"/>
                <w:szCs w:val="21"/>
              </w:rPr>
              <w:t xml:space="preserve"> </w:t>
            </w:r>
            <w:r>
              <w:rPr>
                <w:sz w:val="21"/>
                <w:szCs w:val="21"/>
              </w:rPr>
              <w:t xml:space="preserve">合条件的学前一年在园儿童 减免保育教育费，做到应免 </w:t>
            </w:r>
            <w:r>
              <w:rPr>
                <w:spacing w:val="-2"/>
                <w:sz w:val="21"/>
                <w:szCs w:val="21"/>
              </w:rPr>
              <w:t>尽免。</w:t>
            </w:r>
          </w:p>
        </w:tc>
        <w:tc>
          <w:tcPr>
            <w:tcW w:w="7064" w:type="dxa"/>
            <w:vAlign w:val="top"/>
          </w:tcPr>
          <w:p>
            <w:pPr>
              <w:pStyle w:val="6"/>
              <w:spacing w:before="97" w:line="274" w:lineRule="auto"/>
              <w:ind w:left="63" w:right="51" w:firstLine="149"/>
              <w:rPr>
                <w:sz w:val="21"/>
                <w:szCs w:val="21"/>
              </w:rPr>
            </w:pPr>
            <w:r>
              <w:rPr>
                <w:sz w:val="21"/>
                <w:szCs w:val="21"/>
              </w:rPr>
              <w:t>(1)免除全区公办幼儿园学前一年在园儿童保育教育费。对在教育部门批</w:t>
            </w:r>
            <w:r>
              <w:rPr>
                <w:spacing w:val="6"/>
                <w:sz w:val="21"/>
                <w:szCs w:val="21"/>
              </w:rPr>
              <w:t xml:space="preserve">  </w:t>
            </w:r>
            <w:r>
              <w:rPr>
                <w:sz w:val="21"/>
                <w:szCs w:val="21"/>
              </w:rPr>
              <w:t>准设立的民办幼儿园就读的学前一年适龄儿童，参</w:t>
            </w:r>
            <w:r>
              <w:rPr>
                <w:spacing w:val="-1"/>
                <w:sz w:val="21"/>
                <w:szCs w:val="21"/>
              </w:rPr>
              <w:t>照区同类型公办幼儿园免</w:t>
            </w:r>
            <w:r>
              <w:rPr>
                <w:sz w:val="21"/>
                <w:szCs w:val="21"/>
              </w:rPr>
              <w:t xml:space="preserve"> 除水平，相应减免保育教育费。免保育教育费标准，按照县级以上人民政府</w:t>
            </w:r>
            <w:r>
              <w:rPr>
                <w:spacing w:val="7"/>
                <w:sz w:val="21"/>
                <w:szCs w:val="21"/>
              </w:rPr>
              <w:t xml:space="preserve"> </w:t>
            </w:r>
            <w:r>
              <w:rPr>
                <w:spacing w:val="1"/>
                <w:sz w:val="21"/>
                <w:szCs w:val="21"/>
              </w:rPr>
              <w:t>及其教育、价格主管部门批准的公办幼儿园保育教育费收费标准(不含伙食</w:t>
            </w:r>
            <w:r>
              <w:rPr>
                <w:spacing w:val="8"/>
                <w:sz w:val="21"/>
                <w:szCs w:val="21"/>
              </w:rPr>
              <w:t xml:space="preserve"> </w:t>
            </w:r>
            <w:r>
              <w:rPr>
                <w:spacing w:val="2"/>
                <w:sz w:val="21"/>
                <w:szCs w:val="21"/>
              </w:rPr>
              <w:t>费、住宿费、延时服务费、杂费等)执行。民办幼儿园收取保育教育费高出</w:t>
            </w:r>
            <w:r>
              <w:rPr>
                <w:spacing w:val="3"/>
                <w:sz w:val="21"/>
                <w:szCs w:val="21"/>
              </w:rPr>
              <w:t xml:space="preserve"> </w:t>
            </w:r>
            <w:r>
              <w:rPr>
                <w:sz w:val="21"/>
                <w:szCs w:val="21"/>
              </w:rPr>
              <w:t>免除水平的部分，幼儿园可以按规定继续向在园儿童家庭收取；收取保育教</w:t>
            </w:r>
            <w:r>
              <w:rPr>
                <w:spacing w:val="7"/>
                <w:sz w:val="21"/>
                <w:szCs w:val="21"/>
              </w:rPr>
              <w:t xml:space="preserve"> </w:t>
            </w:r>
            <w:r>
              <w:rPr>
                <w:spacing w:val="4"/>
                <w:sz w:val="21"/>
                <w:szCs w:val="21"/>
              </w:rPr>
              <w:t>育费低于免除水平的，据实执行。</w:t>
            </w:r>
          </w:p>
          <w:p>
            <w:pPr>
              <w:pStyle w:val="6"/>
              <w:spacing w:before="49" w:line="270" w:lineRule="auto"/>
              <w:ind w:left="63" w:right="49" w:firstLine="149"/>
              <w:rPr>
                <w:sz w:val="21"/>
                <w:szCs w:val="21"/>
              </w:rPr>
            </w:pPr>
            <w:r>
              <w:rPr>
                <w:sz w:val="21"/>
                <w:szCs w:val="21"/>
              </w:rPr>
              <w:t>(2)密切关注本地公办幼儿园办园成本、保育教育费实际收费等情况，科</w:t>
            </w:r>
            <w:r>
              <w:rPr>
                <w:spacing w:val="5"/>
                <w:sz w:val="21"/>
                <w:szCs w:val="21"/>
              </w:rPr>
              <w:t xml:space="preserve">  </w:t>
            </w:r>
            <w:r>
              <w:rPr>
                <w:sz w:val="21"/>
                <w:szCs w:val="21"/>
              </w:rPr>
              <w:t>学统计本地公办幼儿园保育教育费生均实际收费水平。免保育教育费生均财</w:t>
            </w:r>
            <w:r>
              <w:rPr>
                <w:spacing w:val="7"/>
                <w:sz w:val="21"/>
                <w:szCs w:val="21"/>
              </w:rPr>
              <w:t xml:space="preserve"> </w:t>
            </w:r>
            <w:r>
              <w:rPr>
                <w:spacing w:val="4"/>
                <w:sz w:val="21"/>
                <w:szCs w:val="21"/>
              </w:rPr>
              <w:t>政补助标准由省级参考各地公办幼儿园保育教育费生均实际</w:t>
            </w:r>
            <w:r>
              <w:rPr>
                <w:spacing w:val="3"/>
                <w:sz w:val="21"/>
                <w:szCs w:val="21"/>
              </w:rPr>
              <w:t>收费水平及中</w:t>
            </w:r>
            <w:r>
              <w:rPr>
                <w:sz w:val="21"/>
                <w:szCs w:val="21"/>
              </w:rPr>
              <w:t xml:space="preserve">  央核定的安徽省免保育教育费生均财政补助标准进行核定，并结合实际动态</w:t>
            </w:r>
            <w:r>
              <w:rPr>
                <w:spacing w:val="9"/>
                <w:sz w:val="21"/>
                <w:szCs w:val="21"/>
              </w:rPr>
              <w:t xml:space="preserve"> </w:t>
            </w:r>
            <w:r>
              <w:rPr>
                <w:spacing w:val="11"/>
                <w:sz w:val="21"/>
                <w:szCs w:val="21"/>
              </w:rPr>
              <w:t>调整。</w:t>
            </w:r>
          </w:p>
          <w:p>
            <w:pPr>
              <w:pStyle w:val="6"/>
              <w:spacing w:before="76" w:line="259" w:lineRule="auto"/>
              <w:ind w:left="63" w:right="42" w:firstLine="149"/>
              <w:rPr>
                <w:sz w:val="21"/>
                <w:szCs w:val="21"/>
              </w:rPr>
            </w:pPr>
            <w:r>
              <w:rPr>
                <w:sz w:val="21"/>
                <w:szCs w:val="21"/>
              </w:rPr>
              <w:t>(3)细化免保育教育费工作落实举措，可以参照市特一类、市一类及历年</w:t>
            </w:r>
            <w:r>
              <w:rPr>
                <w:spacing w:val="6"/>
                <w:sz w:val="21"/>
                <w:szCs w:val="21"/>
              </w:rPr>
              <w:t xml:space="preserve">  </w:t>
            </w:r>
            <w:r>
              <w:rPr>
                <w:sz w:val="21"/>
                <w:szCs w:val="21"/>
              </w:rPr>
              <w:t>分类评估结果，按照幼儿园等级分类明确公办幼儿园和民办幼儿园的免保育</w:t>
            </w:r>
            <w:r>
              <w:rPr>
                <w:spacing w:val="16"/>
                <w:sz w:val="21"/>
                <w:szCs w:val="21"/>
              </w:rPr>
              <w:t xml:space="preserve"> </w:t>
            </w:r>
            <w:r>
              <w:rPr>
                <w:sz w:val="21"/>
                <w:szCs w:val="21"/>
              </w:rPr>
              <w:t>教育费生均财政补助标准，确保民办幼儿园享受与当地同类型公办园相应的</w:t>
            </w:r>
            <w:r>
              <w:rPr>
                <w:spacing w:val="15"/>
                <w:sz w:val="21"/>
                <w:szCs w:val="21"/>
              </w:rPr>
              <w:t xml:space="preserve"> </w:t>
            </w:r>
            <w:r>
              <w:rPr>
                <w:sz w:val="21"/>
                <w:szCs w:val="21"/>
              </w:rPr>
              <w:t>补助水平。多渠道宣传免费学前教育政策，畅通反映</w:t>
            </w:r>
            <w:r>
              <w:rPr>
                <w:spacing w:val="-1"/>
                <w:sz w:val="21"/>
                <w:szCs w:val="21"/>
              </w:rPr>
              <w:t>问题渠道并公开监督方</w:t>
            </w:r>
            <w:r>
              <w:rPr>
                <w:sz w:val="21"/>
                <w:szCs w:val="21"/>
              </w:rPr>
              <w:t xml:space="preserve"> </w:t>
            </w:r>
            <w:r>
              <w:rPr>
                <w:spacing w:val="2"/>
                <w:sz w:val="21"/>
                <w:szCs w:val="21"/>
              </w:rPr>
              <w:t>式，回应社会关切，保障逐步推行免费学前教育惠民举措平稳实施</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2" w:hRule="atLeast"/>
        </w:trPr>
        <w:tc>
          <w:tcPr>
            <w:tcW w:w="674" w:type="dxa"/>
            <w:vAlign w:val="top"/>
          </w:tcPr>
          <w:p>
            <w:pPr>
              <w:spacing w:line="282"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pStyle w:val="6"/>
              <w:spacing w:before="69"/>
              <w:ind w:left="224"/>
              <w:rPr>
                <w:sz w:val="21"/>
                <w:szCs w:val="21"/>
              </w:rPr>
            </w:pPr>
            <w:r>
              <w:rPr>
                <w:spacing w:val="-6"/>
                <w:sz w:val="21"/>
                <w:szCs w:val="21"/>
              </w:rPr>
              <w:t>15</w:t>
            </w:r>
          </w:p>
        </w:tc>
        <w:tc>
          <w:tcPr>
            <w:tcW w:w="1359" w:type="dxa"/>
            <w:vAlign w:val="top"/>
          </w:tcPr>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pStyle w:val="6"/>
              <w:spacing w:before="68" w:line="221" w:lineRule="auto"/>
              <w:ind w:left="100"/>
              <w:rPr>
                <w:sz w:val="21"/>
                <w:szCs w:val="21"/>
              </w:rPr>
            </w:pPr>
            <w:r>
              <w:rPr>
                <w:spacing w:val="2"/>
                <w:sz w:val="21"/>
                <w:szCs w:val="21"/>
              </w:rPr>
              <w:t>区卫健委</w:t>
            </w:r>
          </w:p>
        </w:tc>
        <w:tc>
          <w:tcPr>
            <w:tcW w:w="2748" w:type="dxa"/>
            <w:vAlign w:val="top"/>
          </w:tcPr>
          <w:p>
            <w:pPr>
              <w:spacing w:line="262" w:lineRule="auto"/>
              <w:rPr>
                <w:rFonts w:ascii="Arial"/>
                <w:sz w:val="21"/>
              </w:rPr>
            </w:pPr>
          </w:p>
          <w:p>
            <w:pPr>
              <w:pStyle w:val="6"/>
              <w:spacing w:before="69" w:line="265" w:lineRule="auto"/>
              <w:ind w:left="92" w:right="104" w:firstLine="119"/>
              <w:rPr>
                <w:sz w:val="21"/>
                <w:szCs w:val="21"/>
              </w:rPr>
            </w:pPr>
            <w:r>
              <w:rPr>
                <w:spacing w:val="-1"/>
                <w:sz w:val="21"/>
                <w:szCs w:val="21"/>
              </w:rPr>
              <w:t>为农村地区适龄妇女提供</w:t>
            </w:r>
            <w:r>
              <w:rPr>
                <w:sz w:val="21"/>
                <w:szCs w:val="21"/>
              </w:rPr>
              <w:t xml:space="preserve">  </w:t>
            </w:r>
            <w:r>
              <w:rPr>
                <w:spacing w:val="1"/>
                <w:sz w:val="21"/>
                <w:szCs w:val="21"/>
              </w:rPr>
              <w:t>5800人次宫颈癌、2000人次</w:t>
            </w:r>
            <w:r>
              <w:rPr>
                <w:sz w:val="21"/>
                <w:szCs w:val="21"/>
              </w:rPr>
              <w:t xml:space="preserve"> </w:t>
            </w:r>
            <w:r>
              <w:rPr>
                <w:spacing w:val="1"/>
                <w:sz w:val="21"/>
                <w:szCs w:val="21"/>
              </w:rPr>
              <w:t>乳腺癌免费筛查服务；开展</w:t>
            </w:r>
            <w:r>
              <w:rPr>
                <w:spacing w:val="8"/>
                <w:sz w:val="21"/>
                <w:szCs w:val="21"/>
              </w:rPr>
              <w:t xml:space="preserve"> </w:t>
            </w:r>
            <w:r>
              <w:rPr>
                <w:sz w:val="21"/>
                <w:szCs w:val="21"/>
              </w:rPr>
              <w:t xml:space="preserve">新生儿遗传代谢病筛查和新 生儿听力障碍筛查，筛查率 </w:t>
            </w:r>
            <w:r>
              <w:rPr>
                <w:spacing w:val="1"/>
                <w:sz w:val="21"/>
                <w:szCs w:val="21"/>
              </w:rPr>
              <w:t>分别达到98%以上和95%以</w:t>
            </w:r>
          </w:p>
          <w:p>
            <w:pPr>
              <w:pStyle w:val="6"/>
              <w:spacing w:line="232" w:lineRule="auto"/>
              <w:ind w:left="92"/>
              <w:rPr>
                <w:sz w:val="21"/>
                <w:szCs w:val="21"/>
              </w:rPr>
            </w:pPr>
            <w:r>
              <w:rPr>
                <w:spacing w:val="-2"/>
                <w:sz w:val="21"/>
                <w:szCs w:val="21"/>
              </w:rPr>
              <w:t>上。</w:t>
            </w:r>
          </w:p>
        </w:tc>
        <w:tc>
          <w:tcPr>
            <w:tcW w:w="7064" w:type="dxa"/>
            <w:vAlign w:val="top"/>
          </w:tcPr>
          <w:p>
            <w:pPr>
              <w:pStyle w:val="6"/>
              <w:spacing w:before="115" w:line="219" w:lineRule="auto"/>
              <w:ind w:left="323"/>
              <w:rPr>
                <w:sz w:val="21"/>
                <w:szCs w:val="21"/>
              </w:rPr>
            </w:pPr>
            <w:r>
              <w:rPr>
                <w:spacing w:val="-3"/>
                <w:sz w:val="21"/>
                <w:szCs w:val="21"/>
              </w:rPr>
              <w:t>(1)为农村地区适龄妇女(35—64岁)免费提供宫颈癌、乳腺癌检查服务。</w:t>
            </w:r>
          </w:p>
          <w:p>
            <w:pPr>
              <w:pStyle w:val="6"/>
              <w:spacing w:before="62" w:line="257" w:lineRule="auto"/>
              <w:ind w:left="3" w:firstLine="157"/>
              <w:rPr>
                <w:sz w:val="21"/>
                <w:szCs w:val="21"/>
              </w:rPr>
            </w:pPr>
            <w:r>
              <w:rPr>
                <w:spacing w:val="-2"/>
                <w:sz w:val="21"/>
                <w:szCs w:val="21"/>
              </w:rPr>
              <w:t>省级以上财政按照宫颈癌人均49元、乳腺癌</w:t>
            </w:r>
            <w:r>
              <w:rPr>
                <w:spacing w:val="-3"/>
                <w:sz w:val="21"/>
                <w:szCs w:val="21"/>
              </w:rPr>
              <w:t>人均79元的标准给予补助，其</w:t>
            </w:r>
            <w:r>
              <w:rPr>
                <w:sz w:val="21"/>
                <w:szCs w:val="21"/>
              </w:rPr>
              <w:t xml:space="preserve">   </w:t>
            </w:r>
            <w:r>
              <w:rPr>
                <w:spacing w:val="-1"/>
                <w:sz w:val="21"/>
                <w:szCs w:val="21"/>
              </w:rPr>
              <w:t>余部分由区财政承担；充分利用电视、网络等媒体，开展妇女“两癌”防治</w:t>
            </w:r>
            <w:r>
              <w:rPr>
                <w:spacing w:val="8"/>
                <w:sz w:val="21"/>
                <w:szCs w:val="21"/>
              </w:rPr>
              <w:t xml:space="preserve">  </w:t>
            </w:r>
            <w:r>
              <w:rPr>
                <w:spacing w:val="-3"/>
                <w:sz w:val="21"/>
                <w:szCs w:val="21"/>
              </w:rPr>
              <w:t>相关政策和信息的宣传教育，形成全社会关心支持“两癌”防治的良好氛围。</w:t>
            </w:r>
          </w:p>
          <w:p>
            <w:pPr>
              <w:pStyle w:val="6"/>
              <w:spacing w:before="82" w:line="219" w:lineRule="auto"/>
              <w:ind w:left="273"/>
              <w:rPr>
                <w:sz w:val="21"/>
                <w:szCs w:val="21"/>
              </w:rPr>
            </w:pPr>
            <w:r>
              <w:rPr>
                <w:sz w:val="21"/>
                <w:szCs w:val="21"/>
              </w:rPr>
              <w:t>(2)严格按照《新生儿疾病筛查管理办法》《新生儿疾病筛查技术规</w:t>
            </w:r>
            <w:r>
              <w:rPr>
                <w:spacing w:val="-1"/>
                <w:sz w:val="21"/>
                <w:szCs w:val="21"/>
              </w:rPr>
              <w:t>范》</w:t>
            </w:r>
          </w:p>
          <w:p>
            <w:pPr>
              <w:pStyle w:val="6"/>
              <w:spacing w:before="80" w:line="245" w:lineRule="auto"/>
              <w:ind w:left="63" w:right="48"/>
              <w:rPr>
                <w:sz w:val="21"/>
                <w:szCs w:val="21"/>
              </w:rPr>
            </w:pPr>
            <w:r>
              <w:rPr>
                <w:sz w:val="21"/>
                <w:szCs w:val="21"/>
              </w:rPr>
              <w:t>的要求，免费组织实施新生儿两种遗传代谢病和听力筛查及诊断工作。组织</w:t>
            </w:r>
            <w:r>
              <w:rPr>
                <w:spacing w:val="10"/>
                <w:sz w:val="21"/>
                <w:szCs w:val="21"/>
              </w:rPr>
              <w:t xml:space="preserve"> </w:t>
            </w:r>
            <w:r>
              <w:rPr>
                <w:sz w:val="21"/>
                <w:szCs w:val="21"/>
              </w:rPr>
              <w:t>对项目相关人员进行专题培训，开展项目监督指导及效</w:t>
            </w:r>
            <w:r>
              <w:rPr>
                <w:spacing w:val="-1"/>
                <w:sz w:val="21"/>
                <w:szCs w:val="21"/>
              </w:rPr>
              <w:t>果评估，健全质量管</w:t>
            </w:r>
            <w:r>
              <w:rPr>
                <w:sz w:val="21"/>
                <w:szCs w:val="21"/>
              </w:rPr>
              <w:t xml:space="preserve"> </w:t>
            </w:r>
            <w:r>
              <w:rPr>
                <w:spacing w:val="1"/>
                <w:sz w:val="21"/>
                <w:szCs w:val="21"/>
              </w:rPr>
              <w:t>理体系，强化风险防控机制，确保项目规范有序推进。</w:t>
            </w:r>
          </w:p>
        </w:tc>
        <w:tc>
          <w:tcPr>
            <w:tcW w:w="1094" w:type="dxa"/>
            <w:vAlign w:val="top"/>
          </w:tcPr>
          <w:p>
            <w:pPr>
              <w:rPr>
                <w:rFonts w:ascii="Arial"/>
                <w:sz w:val="21"/>
              </w:rPr>
            </w:pPr>
          </w:p>
        </w:tc>
      </w:tr>
    </w:tbl>
    <w:p>
      <w:pPr>
        <w:pStyle w:val="2"/>
      </w:pPr>
    </w:p>
    <w:p>
      <w:pPr>
        <w:sectPr>
          <w:footerReference r:id="rId9" w:type="default"/>
          <w:pgSz w:w="16830" w:h="11900"/>
          <w:pgMar w:top="1011" w:right="2005" w:bottom="1286" w:left="1875" w:header="0" w:footer="974" w:gutter="0"/>
          <w:cols w:space="720" w:num="1"/>
        </w:sectPr>
      </w:pPr>
    </w:p>
    <w:p>
      <w:pPr>
        <w:spacing w:before="232"/>
      </w:pPr>
    </w:p>
    <w:tbl>
      <w:tblPr>
        <w:tblStyle w:val="5"/>
        <w:tblW w:w="12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369"/>
        <w:gridCol w:w="2728"/>
        <w:gridCol w:w="7064"/>
        <w:gridCol w:w="10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664" w:type="dxa"/>
            <w:vAlign w:val="top"/>
          </w:tcPr>
          <w:p>
            <w:pPr>
              <w:pStyle w:val="6"/>
              <w:spacing w:before="235" w:line="221" w:lineRule="auto"/>
              <w:ind w:left="104"/>
            </w:pPr>
            <w:r>
              <w:rPr>
                <w:spacing w:val="6"/>
              </w:rPr>
              <w:t>序号</w:t>
            </w:r>
          </w:p>
        </w:tc>
        <w:tc>
          <w:tcPr>
            <w:tcW w:w="1369" w:type="dxa"/>
            <w:vAlign w:val="top"/>
          </w:tcPr>
          <w:p>
            <w:pPr>
              <w:pStyle w:val="6"/>
              <w:spacing w:before="232" w:line="219" w:lineRule="auto"/>
              <w:ind w:left="250"/>
            </w:pPr>
            <w:r>
              <w:rPr>
                <w:spacing w:val="-2"/>
              </w:rPr>
              <w:t>牵头单位</w:t>
            </w:r>
          </w:p>
        </w:tc>
        <w:tc>
          <w:tcPr>
            <w:tcW w:w="2728" w:type="dxa"/>
            <w:vAlign w:val="top"/>
          </w:tcPr>
          <w:p>
            <w:pPr>
              <w:pStyle w:val="6"/>
              <w:spacing w:before="234" w:line="219" w:lineRule="auto"/>
              <w:ind w:left="601"/>
            </w:pPr>
            <w:r>
              <w:rPr>
                <w:spacing w:val="-15"/>
              </w:rPr>
              <w:t>实</w:t>
            </w:r>
            <w:r>
              <w:rPr>
                <w:spacing w:val="2"/>
              </w:rPr>
              <w:t xml:space="preserve">  </w:t>
            </w:r>
            <w:r>
              <w:rPr>
                <w:spacing w:val="-15"/>
              </w:rPr>
              <w:t>施</w:t>
            </w:r>
            <w:r>
              <w:rPr>
                <w:spacing w:val="15"/>
              </w:rPr>
              <w:t xml:space="preserve">  </w:t>
            </w:r>
            <w:r>
              <w:rPr>
                <w:spacing w:val="-15"/>
              </w:rPr>
              <w:t>内</w:t>
            </w:r>
            <w:r>
              <w:rPr>
                <w:spacing w:val="3"/>
              </w:rPr>
              <w:t xml:space="preserve">  </w:t>
            </w:r>
            <w:r>
              <w:rPr>
                <w:spacing w:val="-15"/>
              </w:rPr>
              <w:t>容</w:t>
            </w:r>
          </w:p>
        </w:tc>
        <w:tc>
          <w:tcPr>
            <w:tcW w:w="7064" w:type="dxa"/>
            <w:vAlign w:val="top"/>
          </w:tcPr>
          <w:p>
            <w:pPr>
              <w:pStyle w:val="6"/>
              <w:spacing w:before="234" w:line="220" w:lineRule="auto"/>
              <w:ind w:left="2793"/>
            </w:pPr>
            <w:r>
              <w:rPr>
                <w:spacing w:val="-6"/>
              </w:rPr>
              <w:t>推</w:t>
            </w:r>
            <w:r>
              <w:rPr>
                <w:spacing w:val="6"/>
              </w:rPr>
              <w:t xml:space="preserve">  </w:t>
            </w:r>
            <w:r>
              <w:rPr>
                <w:spacing w:val="-6"/>
              </w:rPr>
              <w:t>进</w:t>
            </w:r>
            <w:r>
              <w:rPr>
                <w:spacing w:val="6"/>
              </w:rPr>
              <w:t xml:space="preserve">  </w:t>
            </w:r>
            <w:r>
              <w:rPr>
                <w:spacing w:val="-6"/>
              </w:rPr>
              <w:t>措</w:t>
            </w:r>
            <w:r>
              <w:rPr>
                <w:spacing w:val="9"/>
              </w:rPr>
              <w:t xml:space="preserve"> </w:t>
            </w:r>
            <w:r>
              <w:rPr>
                <w:spacing w:val="-6"/>
              </w:rPr>
              <w:t>施</w:t>
            </w:r>
          </w:p>
        </w:tc>
        <w:tc>
          <w:tcPr>
            <w:tcW w:w="1094" w:type="dxa"/>
            <w:vAlign w:val="top"/>
          </w:tcPr>
          <w:p>
            <w:pPr>
              <w:pStyle w:val="6"/>
              <w:spacing w:before="235" w:line="221" w:lineRule="auto"/>
              <w:ind w:left="109"/>
            </w:pPr>
            <w:r>
              <w:rPr>
                <w:spacing w:val="-6"/>
              </w:rPr>
              <w:t>备</w:t>
            </w:r>
            <w:r>
              <w:rPr>
                <w:spacing w:val="11"/>
              </w:rPr>
              <w:t xml:space="preserve"> </w:t>
            </w:r>
            <w:r>
              <w:rPr>
                <w:spacing w:val="-6"/>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8" w:hRule="atLeast"/>
        </w:trPr>
        <w:tc>
          <w:tcPr>
            <w:tcW w:w="664"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6"/>
              <w:spacing w:before="71"/>
              <w:ind w:left="214"/>
            </w:pPr>
            <w:r>
              <w:rPr>
                <w:spacing w:val="-7"/>
              </w:rPr>
              <w:t>16</w:t>
            </w:r>
          </w:p>
        </w:tc>
        <w:tc>
          <w:tcPr>
            <w:tcW w:w="1369" w:type="dxa"/>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6"/>
              <w:spacing w:before="71" w:line="221" w:lineRule="auto"/>
              <w:ind w:left="90"/>
            </w:pPr>
            <w:r>
              <w:rPr>
                <w:spacing w:val="2"/>
              </w:rPr>
              <w:t>区卫健委</w:t>
            </w:r>
          </w:p>
        </w:tc>
        <w:tc>
          <w:tcPr>
            <w:tcW w:w="2728" w:type="dxa"/>
            <w:vAlign w:val="top"/>
          </w:tcPr>
          <w:p>
            <w:pPr>
              <w:pStyle w:val="6"/>
              <w:spacing w:before="70" w:line="219" w:lineRule="auto"/>
              <w:ind w:left="31"/>
            </w:pPr>
            <w:r>
              <w:t>省级任务为实施“人工智能</w:t>
            </w:r>
          </w:p>
          <w:p>
            <w:pPr>
              <w:pStyle w:val="6"/>
              <w:spacing w:before="29" w:line="219" w:lineRule="auto"/>
              <w:ind w:left="92"/>
            </w:pPr>
            <w:r>
              <w:rPr>
                <w:spacing w:val="-1"/>
              </w:rPr>
              <w:t>+基层应用”提升工程，选</w:t>
            </w:r>
          </w:p>
          <w:p>
            <w:pPr>
              <w:pStyle w:val="6"/>
              <w:spacing w:before="79" w:line="219" w:lineRule="auto"/>
              <w:ind w:left="141"/>
            </w:pPr>
            <w:r>
              <w:t>取30个县(市、区)开展基</w:t>
            </w:r>
          </w:p>
          <w:p>
            <w:pPr>
              <w:pStyle w:val="6"/>
              <w:spacing w:before="59" w:line="219" w:lineRule="auto"/>
              <w:ind w:left="31"/>
            </w:pPr>
            <w:r>
              <w:rPr>
                <w:spacing w:val="-1"/>
              </w:rPr>
              <w:t>层医疗卫生服务系统一体化</w:t>
            </w:r>
          </w:p>
          <w:p>
            <w:pPr>
              <w:pStyle w:val="6"/>
              <w:spacing w:before="49" w:line="213" w:lineRule="auto"/>
              <w:ind w:left="110" w:right="36" w:hanging="79"/>
            </w:pPr>
            <w:r>
              <w:t>建设，试点地区基层医务人</w:t>
            </w:r>
            <w:r>
              <w:rPr>
                <w:spacing w:val="8"/>
              </w:rPr>
              <w:t xml:space="preserve"> </w:t>
            </w:r>
            <w:r>
              <w:t>员培训不少于900名。</w:t>
            </w:r>
          </w:p>
        </w:tc>
        <w:tc>
          <w:tcPr>
            <w:tcW w:w="7064" w:type="dxa"/>
            <w:vAlign w:val="top"/>
          </w:tcPr>
          <w:p>
            <w:pPr>
              <w:rPr>
                <w:rFonts w:ascii="Arial"/>
                <w:sz w:val="21"/>
              </w:rPr>
            </w:pPr>
          </w:p>
        </w:tc>
        <w:tc>
          <w:tcPr>
            <w:tcW w:w="1094"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71" w:line="219" w:lineRule="auto"/>
              <w:ind w:left="109"/>
            </w:pPr>
            <w:r>
              <w:rPr>
                <w:spacing w:val="3"/>
              </w:rPr>
              <w:t>无任务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8" w:hRule="atLeast"/>
        </w:trPr>
        <w:tc>
          <w:tcPr>
            <w:tcW w:w="664" w:type="dxa"/>
            <w:vAlign w:val="top"/>
          </w:tcPr>
          <w:p>
            <w:pPr>
              <w:spacing w:line="459" w:lineRule="auto"/>
              <w:rPr>
                <w:rFonts w:ascii="Arial"/>
                <w:sz w:val="21"/>
              </w:rPr>
            </w:pPr>
          </w:p>
          <w:p>
            <w:pPr>
              <w:pStyle w:val="6"/>
              <w:spacing w:before="71"/>
              <w:ind w:left="214"/>
            </w:pPr>
            <w:r>
              <w:rPr>
                <w:spacing w:val="-7"/>
              </w:rPr>
              <w:t>17</w:t>
            </w:r>
          </w:p>
        </w:tc>
        <w:tc>
          <w:tcPr>
            <w:tcW w:w="1369" w:type="dxa"/>
            <w:vAlign w:val="top"/>
          </w:tcPr>
          <w:p>
            <w:pPr>
              <w:spacing w:line="308" w:lineRule="auto"/>
              <w:rPr>
                <w:rFonts w:ascii="Arial"/>
                <w:sz w:val="21"/>
              </w:rPr>
            </w:pPr>
          </w:p>
          <w:p>
            <w:pPr>
              <w:pStyle w:val="6"/>
              <w:spacing w:before="71" w:line="255" w:lineRule="auto"/>
              <w:ind w:left="90" w:right="156"/>
            </w:pPr>
            <w:r>
              <w:rPr>
                <w:spacing w:val="2"/>
              </w:rPr>
              <w:t>叶集生态环</w:t>
            </w:r>
            <w:r>
              <w:t xml:space="preserve"> </w:t>
            </w:r>
            <w:r>
              <w:rPr>
                <w:spacing w:val="6"/>
              </w:rPr>
              <w:t>境分局</w:t>
            </w:r>
          </w:p>
        </w:tc>
        <w:tc>
          <w:tcPr>
            <w:tcW w:w="2728" w:type="dxa"/>
            <w:vAlign w:val="top"/>
          </w:tcPr>
          <w:p>
            <w:pPr>
              <w:pStyle w:val="6"/>
              <w:spacing w:before="231" w:line="258" w:lineRule="auto"/>
              <w:ind w:left="31" w:right="27"/>
              <w:jc w:val="both"/>
            </w:pPr>
            <w:r>
              <w:t>动态开展农村黑臭水体排查</w:t>
            </w:r>
            <w:r>
              <w:rPr>
                <w:spacing w:val="10"/>
              </w:rPr>
              <w:t xml:space="preserve"> </w:t>
            </w:r>
            <w:r>
              <w:rPr>
                <w:spacing w:val="1"/>
              </w:rPr>
              <w:t>整治，巩固农村黑臭水体治</w:t>
            </w:r>
            <w:r>
              <w:rPr>
                <w:spacing w:val="5"/>
              </w:rPr>
              <w:t xml:space="preserve"> </w:t>
            </w:r>
            <w:r>
              <w:rPr>
                <w:spacing w:val="26"/>
              </w:rPr>
              <w:t>理成效</w:t>
            </w:r>
          </w:p>
        </w:tc>
        <w:tc>
          <w:tcPr>
            <w:tcW w:w="7064" w:type="dxa"/>
            <w:vAlign w:val="top"/>
          </w:tcPr>
          <w:p>
            <w:pPr>
              <w:pStyle w:val="6"/>
              <w:spacing w:before="80" w:line="236" w:lineRule="auto"/>
              <w:ind w:left="113" w:firstLine="119"/>
            </w:pPr>
            <w:r>
              <w:rPr>
                <w:spacing w:val="-3"/>
              </w:rPr>
              <w:t>(1)运用卫星遥感、现场核查相结合的手段，</w:t>
            </w:r>
            <w:r>
              <w:rPr>
                <w:spacing w:val="-4"/>
              </w:rPr>
              <w:t>持续开展动态排查，将新发</w:t>
            </w:r>
            <w:r>
              <w:t xml:space="preserve"> </w:t>
            </w:r>
            <w:r>
              <w:rPr>
                <w:spacing w:val="-1"/>
              </w:rPr>
              <w:t>现黑臭水体纳入问题整改清单，实现闭环管理，动态清零。</w:t>
            </w:r>
          </w:p>
          <w:p>
            <w:pPr>
              <w:pStyle w:val="6"/>
              <w:spacing w:before="45" w:line="222" w:lineRule="auto"/>
              <w:ind w:left="123" w:firstLine="109"/>
            </w:pPr>
            <w:r>
              <w:t xml:space="preserve">(2)建立健全长效管护机制，鼓励“以管促治、以用促治”,推动农村闲 </w:t>
            </w:r>
            <w:r>
              <w:rPr>
                <w:spacing w:val="-1"/>
              </w:rPr>
              <w:t>置水体合理适度利用，引导群众积极参与农村水体的治理和管护。</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6" w:hRule="atLeast"/>
        </w:trPr>
        <w:tc>
          <w:tcPr>
            <w:tcW w:w="664" w:type="dxa"/>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6"/>
              <w:spacing w:before="72"/>
              <w:ind w:left="214"/>
            </w:pPr>
            <w:r>
              <w:rPr>
                <w:spacing w:val="-7"/>
              </w:rPr>
              <w:t>18</w:t>
            </w:r>
          </w:p>
        </w:tc>
        <w:tc>
          <w:tcPr>
            <w:tcW w:w="1369" w:type="dxa"/>
            <w:vAlign w:val="top"/>
          </w:tcPr>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6"/>
              <w:spacing w:before="71" w:line="263" w:lineRule="auto"/>
              <w:ind w:left="90" w:right="156"/>
            </w:pPr>
            <w:r>
              <w:rPr>
                <w:spacing w:val="2"/>
              </w:rPr>
              <w:t>叶集生态环</w:t>
            </w:r>
            <w:r>
              <w:t xml:space="preserve"> </w:t>
            </w:r>
            <w:r>
              <w:rPr>
                <w:spacing w:val="6"/>
              </w:rPr>
              <w:t>境分局</w:t>
            </w:r>
          </w:p>
        </w:tc>
        <w:tc>
          <w:tcPr>
            <w:tcW w:w="2728" w:type="dxa"/>
            <w:vAlign w:val="top"/>
          </w:tcPr>
          <w:p>
            <w:pPr>
              <w:spacing w:line="309" w:lineRule="auto"/>
              <w:rPr>
                <w:rFonts w:ascii="Arial"/>
                <w:sz w:val="21"/>
              </w:rPr>
            </w:pPr>
          </w:p>
          <w:p>
            <w:pPr>
              <w:spacing w:line="309" w:lineRule="auto"/>
              <w:rPr>
                <w:rFonts w:ascii="Arial"/>
                <w:sz w:val="21"/>
              </w:rPr>
            </w:pPr>
          </w:p>
          <w:p>
            <w:pPr>
              <w:spacing w:line="309" w:lineRule="auto"/>
              <w:rPr>
                <w:rFonts w:ascii="Arial"/>
                <w:sz w:val="21"/>
              </w:rPr>
            </w:pPr>
          </w:p>
          <w:p>
            <w:pPr>
              <w:pStyle w:val="6"/>
              <w:spacing w:before="71" w:line="219" w:lineRule="auto"/>
              <w:jc w:val="right"/>
            </w:pPr>
            <w:r>
              <w:rPr>
                <w:spacing w:val="3"/>
              </w:rPr>
              <w:t>深入推进餐饮油烟、噪声、</w:t>
            </w:r>
          </w:p>
          <w:p>
            <w:pPr>
              <w:pStyle w:val="6"/>
              <w:spacing w:before="49" w:line="219" w:lineRule="auto"/>
              <w:ind w:left="31"/>
            </w:pPr>
            <w:r>
              <w:t>恶臭异味及道路扬尘问题整</w:t>
            </w:r>
          </w:p>
          <w:p>
            <w:pPr>
              <w:pStyle w:val="6"/>
              <w:spacing w:before="59" w:line="219" w:lineRule="auto"/>
              <w:ind w:left="31"/>
            </w:pPr>
            <w:r>
              <w:rPr>
                <w:spacing w:val="1"/>
              </w:rPr>
              <w:t>治行动，群众“家门口”的</w:t>
            </w:r>
          </w:p>
          <w:p>
            <w:pPr>
              <w:pStyle w:val="6"/>
              <w:spacing w:before="69" w:line="219" w:lineRule="auto"/>
              <w:ind w:left="141"/>
            </w:pPr>
            <w:r>
              <w:rPr>
                <w:spacing w:val="1"/>
              </w:rPr>
              <w:t>生态环境问题得到有效整</w:t>
            </w:r>
          </w:p>
          <w:p>
            <w:pPr>
              <w:pStyle w:val="6"/>
              <w:spacing w:before="25" w:line="224" w:lineRule="auto"/>
              <w:ind w:left="61"/>
            </w:pPr>
            <w:r>
              <w:t>治。</w:t>
            </w:r>
          </w:p>
        </w:tc>
        <w:tc>
          <w:tcPr>
            <w:tcW w:w="7064" w:type="dxa"/>
            <w:vAlign w:val="top"/>
          </w:tcPr>
          <w:p>
            <w:pPr>
              <w:pStyle w:val="6"/>
              <w:spacing w:before="84" w:line="239" w:lineRule="auto"/>
              <w:ind w:left="123" w:firstLine="109"/>
            </w:pPr>
            <w:r>
              <w:rPr>
                <w:spacing w:val="-3"/>
              </w:rPr>
              <w:t>(1)持续开展群众“家门口”生态环境问题排</w:t>
            </w:r>
            <w:r>
              <w:rPr>
                <w:spacing w:val="-4"/>
              </w:rPr>
              <w:t>查整治专项行动，系统梳理</w:t>
            </w:r>
            <w:r>
              <w:t xml:space="preserve"> 信访举报、12345热线等渠道反映问题，建立动态清</w:t>
            </w:r>
            <w:r>
              <w:rPr>
                <w:spacing w:val="-1"/>
              </w:rPr>
              <w:t>单台账，按月调度。</w:t>
            </w:r>
          </w:p>
          <w:p>
            <w:pPr>
              <w:pStyle w:val="6"/>
              <w:spacing w:before="49" w:line="236" w:lineRule="auto"/>
              <w:ind w:left="103" w:firstLine="119"/>
            </w:pPr>
            <w:r>
              <w:rPr>
                <w:spacing w:val="-4"/>
              </w:rPr>
              <w:t>(2)督促餐饮企业规范安装使用油烟处理设施，在餐饮集中区推广集约化</w:t>
            </w:r>
            <w:r>
              <w:rPr>
                <w:spacing w:val="15"/>
              </w:rPr>
              <w:t xml:space="preserve"> </w:t>
            </w:r>
            <w:r>
              <w:rPr>
                <w:spacing w:val="-9"/>
              </w:rPr>
              <w:t>“绿岛”模式，对未设置独立烟道以及对周</w:t>
            </w:r>
            <w:r>
              <w:rPr>
                <w:spacing w:val="-10"/>
              </w:rPr>
              <w:t>边群众影响严重的，引导其退出</w:t>
            </w:r>
          </w:p>
          <w:p>
            <w:pPr>
              <w:pStyle w:val="6"/>
              <w:spacing w:before="56" w:line="257" w:lineRule="auto"/>
              <w:ind w:left="103" w:firstLine="20"/>
            </w:pPr>
            <w:r>
              <w:rPr>
                <w:spacing w:val="-10"/>
              </w:rPr>
              <w:t>或搬迁。重点整治工业企业、建筑施工、交通运输、社会生活等领域噪声扰</w:t>
            </w:r>
            <w:r>
              <w:t xml:space="preserve"> </w:t>
            </w:r>
            <w:r>
              <w:rPr>
                <w:spacing w:val="-1"/>
              </w:rPr>
              <w:t>民问题。</w:t>
            </w:r>
          </w:p>
          <w:p>
            <w:pPr>
              <w:pStyle w:val="6"/>
              <w:spacing w:before="8" w:line="245" w:lineRule="auto"/>
              <w:ind w:left="73" w:firstLine="139"/>
            </w:pPr>
            <w:r>
              <w:rPr>
                <w:spacing w:val="-3"/>
              </w:rPr>
              <w:t>(3)针对垃圾收集转运环节、园区企业废气排放、畜禽养殖等异味扰民问</w:t>
            </w:r>
            <w:r>
              <w:rPr>
                <w:spacing w:val="8"/>
              </w:rPr>
              <w:t xml:space="preserve"> </w:t>
            </w:r>
            <w:r>
              <w:rPr>
                <w:spacing w:val="-10"/>
              </w:rPr>
              <w:t>题分类施策，优化垃圾清运的频次和方式，严查企业废气超标排放及跑冒滴</w:t>
            </w:r>
            <w:r>
              <w:rPr>
                <w:spacing w:val="16"/>
              </w:rPr>
              <w:t xml:space="preserve"> </w:t>
            </w:r>
            <w:r>
              <w:rPr>
                <w:spacing w:val="-1"/>
              </w:rPr>
              <w:t>漏。</w:t>
            </w:r>
          </w:p>
          <w:p>
            <w:pPr>
              <w:pStyle w:val="6"/>
              <w:spacing w:before="44" w:line="215" w:lineRule="auto"/>
              <w:ind w:left="103" w:firstLine="118"/>
            </w:pPr>
            <w:r>
              <w:rPr>
                <w:spacing w:val="-3"/>
              </w:rPr>
              <w:t>(4)及时排查道路扬尘问题线索，督促建筑工地落实“六个100%”措施，</w:t>
            </w:r>
            <w:r>
              <w:rPr>
                <w:spacing w:val="5"/>
              </w:rPr>
              <w:t xml:space="preserve"> </w:t>
            </w:r>
            <w:r>
              <w:rPr>
                <w:spacing w:val="-3"/>
              </w:rPr>
              <w:t>强化重点单位抑尘措施落实，加强国省道等问题多发路段的维护和保洁。</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trPr>
        <w:tc>
          <w:tcPr>
            <w:tcW w:w="664" w:type="dxa"/>
            <w:vAlign w:val="top"/>
          </w:tcPr>
          <w:p>
            <w:pPr>
              <w:spacing w:line="465" w:lineRule="auto"/>
              <w:rPr>
                <w:rFonts w:ascii="Arial"/>
                <w:sz w:val="21"/>
              </w:rPr>
            </w:pPr>
          </w:p>
          <w:p>
            <w:pPr>
              <w:pStyle w:val="6"/>
              <w:spacing w:before="71"/>
              <w:ind w:left="214"/>
            </w:pPr>
            <w:r>
              <w:rPr>
                <w:spacing w:val="-7"/>
              </w:rPr>
              <w:t>19</w:t>
            </w:r>
          </w:p>
        </w:tc>
        <w:tc>
          <w:tcPr>
            <w:tcW w:w="1369" w:type="dxa"/>
            <w:vAlign w:val="top"/>
          </w:tcPr>
          <w:p>
            <w:pPr>
              <w:spacing w:line="445" w:lineRule="auto"/>
              <w:rPr>
                <w:rFonts w:ascii="Arial"/>
                <w:sz w:val="21"/>
              </w:rPr>
            </w:pPr>
          </w:p>
          <w:p>
            <w:pPr>
              <w:pStyle w:val="6"/>
              <w:spacing w:before="71" w:line="221" w:lineRule="auto"/>
              <w:ind w:left="90"/>
            </w:pPr>
            <w:r>
              <w:rPr>
                <w:spacing w:val="4"/>
              </w:rPr>
              <w:t>区交通局</w:t>
            </w:r>
          </w:p>
        </w:tc>
        <w:tc>
          <w:tcPr>
            <w:tcW w:w="2728" w:type="dxa"/>
            <w:vAlign w:val="top"/>
          </w:tcPr>
          <w:p>
            <w:pPr>
              <w:pStyle w:val="6"/>
              <w:spacing w:before="108" w:line="219" w:lineRule="auto"/>
              <w:ind w:left="31"/>
            </w:pPr>
            <w:r>
              <w:t>省级任务为深入推进新一轮</w:t>
            </w:r>
          </w:p>
          <w:p>
            <w:pPr>
              <w:pStyle w:val="6"/>
              <w:spacing w:before="38" w:line="249" w:lineRule="auto"/>
              <w:ind w:left="250" w:hanging="169"/>
            </w:pPr>
            <w:r>
              <w:rPr>
                <w:spacing w:val="-1"/>
              </w:rPr>
              <w:t>“四好农村路”建设，实施</w:t>
            </w:r>
            <w:r>
              <w:rPr>
                <w:spacing w:val="7"/>
              </w:rPr>
              <w:t xml:space="preserve"> </w:t>
            </w:r>
            <w:r>
              <w:rPr>
                <w:spacing w:val="-2"/>
              </w:rPr>
              <w:t>农村公路提质改造工程</w:t>
            </w:r>
          </w:p>
          <w:p>
            <w:pPr>
              <w:pStyle w:val="6"/>
              <w:spacing w:line="186" w:lineRule="auto"/>
              <w:ind w:left="101"/>
            </w:pPr>
            <w:r>
              <w:t>1500公里。</w:t>
            </w:r>
          </w:p>
        </w:tc>
        <w:tc>
          <w:tcPr>
            <w:tcW w:w="7064" w:type="dxa"/>
            <w:vAlign w:val="top"/>
          </w:tcPr>
          <w:p>
            <w:pPr>
              <w:spacing w:line="450" w:lineRule="auto"/>
              <w:rPr>
                <w:rFonts w:ascii="Arial"/>
                <w:sz w:val="21"/>
              </w:rPr>
            </w:pPr>
          </w:p>
          <w:p>
            <w:pPr>
              <w:pStyle w:val="6"/>
              <w:spacing w:before="71" w:line="224" w:lineRule="auto"/>
              <w:ind w:left="63"/>
            </w:pPr>
            <w:r>
              <w:t>/</w:t>
            </w:r>
          </w:p>
        </w:tc>
        <w:tc>
          <w:tcPr>
            <w:tcW w:w="1094" w:type="dxa"/>
            <w:vAlign w:val="top"/>
          </w:tcPr>
          <w:p>
            <w:pPr>
              <w:spacing w:line="444" w:lineRule="auto"/>
              <w:rPr>
                <w:rFonts w:ascii="Arial"/>
                <w:sz w:val="21"/>
              </w:rPr>
            </w:pPr>
          </w:p>
          <w:p>
            <w:pPr>
              <w:pStyle w:val="6"/>
              <w:spacing w:before="71" w:line="219" w:lineRule="auto"/>
              <w:ind w:left="109"/>
            </w:pPr>
            <w:r>
              <w:rPr>
                <w:spacing w:val="3"/>
              </w:rPr>
              <w:t>无任务</w:t>
            </w:r>
          </w:p>
        </w:tc>
      </w:tr>
    </w:tbl>
    <w:p>
      <w:pPr>
        <w:pStyle w:val="2"/>
      </w:pPr>
    </w:p>
    <w:p>
      <w:pPr>
        <w:sectPr>
          <w:footerReference r:id="rId10" w:type="default"/>
          <w:pgSz w:w="16830" w:h="11900"/>
          <w:pgMar w:top="1011" w:right="2095" w:bottom="1406" w:left="1805" w:header="0" w:footer="1094" w:gutter="0"/>
          <w:cols w:space="720" w:num="1"/>
        </w:sectPr>
      </w:pPr>
    </w:p>
    <w:p>
      <w:pPr>
        <w:spacing w:before="30"/>
      </w:pPr>
    </w:p>
    <w:p>
      <w:pPr>
        <w:spacing w:before="30"/>
      </w:pPr>
    </w:p>
    <w:tbl>
      <w:tblPr>
        <w:tblStyle w:val="5"/>
        <w:tblW w:w="12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369"/>
        <w:gridCol w:w="2738"/>
        <w:gridCol w:w="7064"/>
        <w:gridCol w:w="10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674" w:type="dxa"/>
            <w:vAlign w:val="top"/>
          </w:tcPr>
          <w:p>
            <w:pPr>
              <w:pStyle w:val="6"/>
              <w:spacing w:before="235" w:line="221" w:lineRule="auto"/>
              <w:ind w:left="104"/>
            </w:pPr>
            <w:r>
              <w:rPr>
                <w:spacing w:val="6"/>
              </w:rPr>
              <w:t>序号</w:t>
            </w:r>
          </w:p>
        </w:tc>
        <w:tc>
          <w:tcPr>
            <w:tcW w:w="1369" w:type="dxa"/>
            <w:vAlign w:val="top"/>
          </w:tcPr>
          <w:p>
            <w:pPr>
              <w:pStyle w:val="6"/>
              <w:spacing w:before="232" w:line="219" w:lineRule="auto"/>
              <w:ind w:left="230"/>
            </w:pPr>
            <w:r>
              <w:rPr>
                <w:spacing w:val="-2"/>
              </w:rPr>
              <w:t>牵头单位</w:t>
            </w:r>
          </w:p>
        </w:tc>
        <w:tc>
          <w:tcPr>
            <w:tcW w:w="2738" w:type="dxa"/>
            <w:vAlign w:val="top"/>
          </w:tcPr>
          <w:p>
            <w:pPr>
              <w:pStyle w:val="6"/>
              <w:spacing w:before="234" w:line="219" w:lineRule="auto"/>
              <w:ind w:left="611"/>
            </w:pPr>
            <w:r>
              <w:rPr>
                <w:spacing w:val="-15"/>
              </w:rPr>
              <w:t>实</w:t>
            </w:r>
            <w:r>
              <w:rPr>
                <w:spacing w:val="2"/>
              </w:rPr>
              <w:t xml:space="preserve">  </w:t>
            </w:r>
            <w:r>
              <w:rPr>
                <w:spacing w:val="-15"/>
              </w:rPr>
              <w:t>施</w:t>
            </w:r>
            <w:r>
              <w:rPr>
                <w:spacing w:val="15"/>
              </w:rPr>
              <w:t xml:space="preserve">  </w:t>
            </w:r>
            <w:r>
              <w:rPr>
                <w:spacing w:val="-15"/>
              </w:rPr>
              <w:t>内</w:t>
            </w:r>
            <w:r>
              <w:rPr>
                <w:spacing w:val="3"/>
              </w:rPr>
              <w:t xml:space="preserve">  </w:t>
            </w:r>
            <w:r>
              <w:rPr>
                <w:spacing w:val="-15"/>
              </w:rPr>
              <w:t>容</w:t>
            </w:r>
          </w:p>
        </w:tc>
        <w:tc>
          <w:tcPr>
            <w:tcW w:w="7064" w:type="dxa"/>
            <w:vAlign w:val="top"/>
          </w:tcPr>
          <w:p>
            <w:pPr>
              <w:pStyle w:val="6"/>
              <w:spacing w:before="234" w:line="220" w:lineRule="auto"/>
              <w:ind w:left="2793"/>
            </w:pPr>
            <w:r>
              <w:rPr>
                <w:spacing w:val="-5"/>
              </w:rPr>
              <w:t>推  进</w:t>
            </w:r>
            <w:r>
              <w:rPr>
                <w:spacing w:val="3"/>
              </w:rPr>
              <w:t xml:space="preserve">  </w:t>
            </w:r>
            <w:r>
              <w:rPr>
                <w:spacing w:val="-5"/>
              </w:rPr>
              <w:t>措</w:t>
            </w:r>
            <w:r>
              <w:t xml:space="preserve">  </w:t>
            </w:r>
            <w:r>
              <w:rPr>
                <w:spacing w:val="-5"/>
              </w:rPr>
              <w:t>施</w:t>
            </w:r>
          </w:p>
        </w:tc>
        <w:tc>
          <w:tcPr>
            <w:tcW w:w="1094" w:type="dxa"/>
            <w:vAlign w:val="top"/>
          </w:tcPr>
          <w:p>
            <w:pPr>
              <w:pStyle w:val="6"/>
              <w:spacing w:before="235" w:line="221" w:lineRule="auto"/>
              <w:ind w:left="229"/>
            </w:pPr>
            <w:r>
              <w:rPr>
                <w:spacing w:val="-6"/>
              </w:rPr>
              <w:t>备</w:t>
            </w:r>
            <w:r>
              <w:rPr>
                <w:spacing w:val="11"/>
              </w:rPr>
              <w:t xml:space="preserve"> </w:t>
            </w:r>
            <w:r>
              <w:rPr>
                <w:spacing w:val="-6"/>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674" w:type="dxa"/>
            <w:vAlign w:val="top"/>
          </w:tcPr>
          <w:p>
            <w:pPr>
              <w:pStyle w:val="6"/>
              <w:spacing w:before="311"/>
              <w:ind w:left="214"/>
            </w:pPr>
            <w:r>
              <w:rPr>
                <w:spacing w:val="-3"/>
              </w:rPr>
              <w:t>20</w:t>
            </w:r>
          </w:p>
        </w:tc>
        <w:tc>
          <w:tcPr>
            <w:tcW w:w="1369" w:type="dxa"/>
            <w:vAlign w:val="top"/>
          </w:tcPr>
          <w:p>
            <w:pPr>
              <w:pStyle w:val="6"/>
              <w:spacing w:before="178" w:line="256" w:lineRule="auto"/>
              <w:ind w:left="100" w:right="126" w:firstLine="20"/>
            </w:pPr>
            <w:r>
              <w:rPr>
                <w:spacing w:val="2"/>
              </w:rPr>
              <w:t>市公安局叶</w:t>
            </w:r>
            <w:r>
              <w:t xml:space="preserve"> </w:t>
            </w:r>
            <w:r>
              <w:rPr>
                <w:spacing w:val="6"/>
              </w:rPr>
              <w:t>集分局</w:t>
            </w:r>
          </w:p>
        </w:tc>
        <w:tc>
          <w:tcPr>
            <w:tcW w:w="2738" w:type="dxa"/>
            <w:vAlign w:val="top"/>
          </w:tcPr>
          <w:p>
            <w:pPr>
              <w:pStyle w:val="6"/>
              <w:spacing w:before="169" w:line="260" w:lineRule="auto"/>
              <w:ind w:left="111" w:right="32" w:hanging="70"/>
            </w:pPr>
            <w:r>
              <w:rPr>
                <w:spacing w:val="1"/>
              </w:rPr>
              <w:t>提升道路交通事故社会救助</w:t>
            </w:r>
            <w:r>
              <w:t xml:space="preserve"> </w:t>
            </w:r>
            <w:r>
              <w:rPr>
                <w:spacing w:val="-2"/>
              </w:rPr>
              <w:t>基金服务效能</w:t>
            </w:r>
          </w:p>
        </w:tc>
        <w:tc>
          <w:tcPr>
            <w:tcW w:w="7064" w:type="dxa"/>
            <w:vAlign w:val="top"/>
          </w:tcPr>
          <w:p>
            <w:pPr>
              <w:pStyle w:val="6"/>
              <w:spacing w:before="288" w:line="219" w:lineRule="auto"/>
              <w:ind w:left="103"/>
            </w:pPr>
            <w:r>
              <w:t>进一步加大救助基金政策宣传力度，持续提高救助基金社会知晓度。</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7" w:hRule="atLeast"/>
        </w:trPr>
        <w:tc>
          <w:tcPr>
            <w:tcW w:w="674"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6"/>
              <w:spacing w:before="71" w:line="241" w:lineRule="auto"/>
              <w:ind w:left="214"/>
            </w:pPr>
            <w:r>
              <w:rPr>
                <w:spacing w:val="-3"/>
              </w:rPr>
              <w:t>21</w:t>
            </w:r>
          </w:p>
        </w:tc>
        <w:tc>
          <w:tcPr>
            <w:tcW w:w="1369" w:type="dxa"/>
            <w:vAlign w:val="top"/>
          </w:tcPr>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6"/>
              <w:spacing w:before="72" w:line="221" w:lineRule="auto"/>
              <w:ind w:left="120"/>
            </w:pPr>
            <w:r>
              <w:rPr>
                <w:spacing w:val="3"/>
              </w:rPr>
              <w:t>区文旅体局</w:t>
            </w:r>
          </w:p>
        </w:tc>
        <w:tc>
          <w:tcPr>
            <w:tcW w:w="2738"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6"/>
              <w:spacing w:before="71" w:line="280" w:lineRule="auto"/>
              <w:ind w:left="98" w:hanging="87"/>
            </w:pPr>
            <w:r>
              <w:rPr>
                <w:spacing w:val="-11"/>
              </w:rPr>
              <w:t>依托“15分钟阅读圈”建设，</w:t>
            </w:r>
            <w:r>
              <w:rPr>
                <w:spacing w:val="9"/>
              </w:rPr>
              <w:t xml:space="preserve"> </w:t>
            </w:r>
            <w:r>
              <w:rPr>
                <w:spacing w:val="-6"/>
              </w:rPr>
              <w:t>建成3个公共文化空间。</w:t>
            </w:r>
          </w:p>
        </w:tc>
        <w:tc>
          <w:tcPr>
            <w:tcW w:w="7064" w:type="dxa"/>
            <w:vAlign w:val="top"/>
          </w:tcPr>
          <w:p>
            <w:pPr>
              <w:pStyle w:val="6"/>
              <w:spacing w:before="109" w:line="250" w:lineRule="auto"/>
              <w:ind w:left="103" w:firstLine="119"/>
            </w:pPr>
            <w:r>
              <w:rPr>
                <w:spacing w:val="-9"/>
              </w:rPr>
              <w:t>(1)按照“布局科学、规模适当、业态多元、特色鲜明”的要求</w:t>
            </w:r>
            <w:r>
              <w:rPr>
                <w:spacing w:val="-10"/>
              </w:rPr>
              <w:t>，依托“15</w:t>
            </w:r>
            <w:r>
              <w:t xml:space="preserve"> </w:t>
            </w:r>
            <w:r>
              <w:rPr>
                <w:spacing w:val="-1"/>
              </w:rPr>
              <w:t>分钟阅读圈”,合理布局“文化空间”。</w:t>
            </w:r>
          </w:p>
          <w:p>
            <w:pPr>
              <w:pStyle w:val="6"/>
              <w:spacing w:before="83" w:line="253" w:lineRule="auto"/>
              <w:ind w:left="113" w:firstLine="98"/>
            </w:pPr>
            <w:r>
              <w:rPr>
                <w:spacing w:val="-3"/>
              </w:rPr>
              <w:t>(2)组织公共文化空间举办好书推荐、音乐赏析、戏曲表演、书画品鉴、</w:t>
            </w:r>
            <w:r>
              <w:rPr>
                <w:spacing w:val="9"/>
              </w:rPr>
              <w:t xml:space="preserve"> </w:t>
            </w:r>
            <w:r>
              <w:rPr>
                <w:spacing w:val="-4"/>
              </w:rPr>
              <w:t>非遗体验等艺术分享，满足群众多层次、个性化文化需求。</w:t>
            </w:r>
          </w:p>
          <w:p>
            <w:pPr>
              <w:pStyle w:val="6"/>
              <w:spacing w:before="77" w:line="238" w:lineRule="auto"/>
              <w:ind w:left="103" w:firstLine="119"/>
            </w:pPr>
            <w:r>
              <w:rPr>
                <w:spacing w:val="-3"/>
              </w:rPr>
              <w:t>(3)组织公共文化服务空间参与评估定级、绩效考核、动态管理，争</w:t>
            </w:r>
            <w:r>
              <w:rPr>
                <w:spacing w:val="-4"/>
              </w:rPr>
              <w:t>取省</w:t>
            </w:r>
            <w:r>
              <w:t xml:space="preserve"> </w:t>
            </w:r>
            <w:r>
              <w:rPr>
                <w:spacing w:val="-1"/>
              </w:rPr>
              <w:t>级评定一、二、三级文化空间的奖补资金。</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6" w:hRule="atLeast"/>
        </w:trPr>
        <w:tc>
          <w:tcPr>
            <w:tcW w:w="674"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6"/>
              <w:spacing w:before="71" w:line="241" w:lineRule="auto"/>
              <w:ind w:left="214"/>
            </w:pPr>
            <w:r>
              <w:rPr>
                <w:spacing w:val="-3"/>
              </w:rPr>
              <w:t>22</w:t>
            </w:r>
          </w:p>
        </w:tc>
        <w:tc>
          <w:tcPr>
            <w:tcW w:w="1369" w:type="dxa"/>
            <w:vAlign w:val="top"/>
          </w:tcPr>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6"/>
              <w:spacing w:before="72" w:line="221" w:lineRule="auto"/>
              <w:ind w:left="120"/>
            </w:pPr>
            <w:r>
              <w:rPr>
                <w:spacing w:val="3"/>
              </w:rPr>
              <w:t>区文旅体局</w:t>
            </w:r>
          </w:p>
        </w:tc>
        <w:tc>
          <w:tcPr>
            <w:tcW w:w="2738" w:type="dxa"/>
            <w:vAlign w:val="top"/>
          </w:tcPr>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pStyle w:val="6"/>
              <w:spacing w:before="71" w:line="289" w:lineRule="auto"/>
              <w:ind w:left="111" w:right="27" w:hanging="70"/>
            </w:pPr>
            <w:r>
              <w:rPr>
                <w:spacing w:val="1"/>
              </w:rPr>
              <w:t>全区每个行政村送演出不少</w:t>
            </w:r>
            <w:r>
              <w:rPr>
                <w:spacing w:val="5"/>
              </w:rPr>
              <w:t xml:space="preserve"> </w:t>
            </w:r>
            <w:r>
              <w:rPr>
                <w:spacing w:val="-1"/>
              </w:rPr>
              <w:t>于1场。</w:t>
            </w:r>
          </w:p>
        </w:tc>
        <w:tc>
          <w:tcPr>
            <w:tcW w:w="7064" w:type="dxa"/>
            <w:vAlign w:val="top"/>
          </w:tcPr>
          <w:p>
            <w:pPr>
              <w:pStyle w:val="6"/>
              <w:spacing w:before="112" w:line="248" w:lineRule="auto"/>
              <w:ind w:left="93" w:firstLine="139"/>
            </w:pPr>
            <w:r>
              <w:rPr>
                <w:spacing w:val="-7"/>
              </w:rPr>
              <w:t>(1)由区统筹，通过政府购买服务方式，每村每年安排农村文化活动(“送</w:t>
            </w:r>
            <w:r>
              <w:rPr>
                <w:spacing w:val="17"/>
              </w:rPr>
              <w:t xml:space="preserve"> </w:t>
            </w:r>
            <w:r>
              <w:rPr>
                <w:spacing w:val="-1"/>
              </w:rPr>
              <w:t>戏进万村”)专项资金4400元。</w:t>
            </w:r>
          </w:p>
          <w:p>
            <w:pPr>
              <w:pStyle w:val="6"/>
              <w:spacing w:before="79" w:line="264" w:lineRule="auto"/>
              <w:ind w:left="103" w:firstLine="119"/>
            </w:pPr>
            <w:r>
              <w:rPr>
                <w:spacing w:val="-3"/>
              </w:rPr>
              <w:t>(2)制定实施方案，精准对接群众需求，制定符合乡村实</w:t>
            </w:r>
            <w:r>
              <w:rPr>
                <w:spacing w:val="-4"/>
              </w:rPr>
              <w:t>际、体现乡土特</w:t>
            </w:r>
            <w:r>
              <w:t xml:space="preserve"> </w:t>
            </w:r>
            <w:r>
              <w:rPr>
                <w:spacing w:val="-9"/>
              </w:rPr>
              <w:t>色、内容健康向上、形式丰富多样、群众喜</w:t>
            </w:r>
            <w:r>
              <w:rPr>
                <w:spacing w:val="-10"/>
              </w:rPr>
              <w:t>闻乐见的节目清单。每场演出时</w:t>
            </w:r>
            <w:r>
              <w:t xml:space="preserve"> </w:t>
            </w:r>
            <w:r>
              <w:rPr>
                <w:spacing w:val="-1"/>
              </w:rPr>
              <w:t>长一般不少于100分钟。</w:t>
            </w:r>
          </w:p>
          <w:p>
            <w:pPr>
              <w:pStyle w:val="6"/>
              <w:spacing w:before="77" w:line="260" w:lineRule="auto"/>
              <w:ind w:left="103" w:firstLine="119"/>
            </w:pPr>
            <w:r>
              <w:rPr>
                <w:spacing w:val="-4"/>
              </w:rPr>
              <w:t>(3)鼓励通过区级文化馆、乡镇综合文化站指导所在村业余文艺团队参与</w:t>
            </w:r>
            <w:r>
              <w:rPr>
                <w:spacing w:val="11"/>
              </w:rPr>
              <w:t xml:space="preserve"> </w:t>
            </w:r>
            <w:r>
              <w:rPr>
                <w:spacing w:val="1"/>
              </w:rPr>
              <w:t>演出。鼓励开展“送戏+”(景点景区、街</w:t>
            </w:r>
            <w:r>
              <w:t xml:space="preserve">区、文化园区、商业综合体等) </w:t>
            </w:r>
            <w:r>
              <w:rPr>
                <w:spacing w:val="-2"/>
              </w:rPr>
              <w:t>行动，提升“送戏”质效，助力乡村振兴。</w:t>
            </w:r>
          </w:p>
          <w:p>
            <w:pPr>
              <w:pStyle w:val="6"/>
              <w:spacing w:before="78" w:line="228" w:lineRule="auto"/>
              <w:ind w:left="103" w:firstLine="129"/>
            </w:pPr>
            <w:r>
              <w:rPr>
                <w:spacing w:val="-3"/>
              </w:rPr>
              <w:t>(4)引导演出院团利用新媒体平台直播“送戏</w:t>
            </w:r>
            <w:r>
              <w:rPr>
                <w:spacing w:val="-4"/>
              </w:rPr>
              <w:t>”演出，创作“送戏”短视</w:t>
            </w:r>
            <w:r>
              <w:t xml:space="preserve"> </w:t>
            </w:r>
            <w:r>
              <w:rPr>
                <w:spacing w:val="-1"/>
              </w:rPr>
              <w:t>频，增强“送戏”品牌美誉度和影响力。</w:t>
            </w:r>
          </w:p>
        </w:tc>
        <w:tc>
          <w:tcPr>
            <w:tcW w:w="10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3" w:hRule="atLeast"/>
        </w:trPr>
        <w:tc>
          <w:tcPr>
            <w:tcW w:w="674" w:type="dxa"/>
            <w:vAlign w:val="top"/>
          </w:tcPr>
          <w:p>
            <w:pPr>
              <w:spacing w:line="351" w:lineRule="auto"/>
              <w:rPr>
                <w:rFonts w:ascii="Arial"/>
                <w:sz w:val="21"/>
              </w:rPr>
            </w:pPr>
          </w:p>
          <w:p>
            <w:pPr>
              <w:spacing w:line="352" w:lineRule="auto"/>
              <w:rPr>
                <w:rFonts w:ascii="Arial"/>
                <w:sz w:val="21"/>
              </w:rPr>
            </w:pPr>
          </w:p>
          <w:p>
            <w:pPr>
              <w:pStyle w:val="6"/>
              <w:spacing w:before="72"/>
              <w:ind w:left="214"/>
            </w:pPr>
            <w:r>
              <w:rPr>
                <w:spacing w:val="-3"/>
              </w:rPr>
              <w:t>23</w:t>
            </w:r>
          </w:p>
        </w:tc>
        <w:tc>
          <w:tcPr>
            <w:tcW w:w="1369" w:type="dxa"/>
            <w:vAlign w:val="top"/>
          </w:tcPr>
          <w:p>
            <w:pPr>
              <w:spacing w:line="341" w:lineRule="auto"/>
              <w:rPr>
                <w:rFonts w:ascii="Arial"/>
                <w:sz w:val="21"/>
              </w:rPr>
            </w:pPr>
          </w:p>
          <w:p>
            <w:pPr>
              <w:spacing w:line="342" w:lineRule="auto"/>
              <w:rPr>
                <w:rFonts w:ascii="Arial"/>
                <w:sz w:val="21"/>
              </w:rPr>
            </w:pPr>
          </w:p>
          <w:p>
            <w:pPr>
              <w:pStyle w:val="6"/>
              <w:spacing w:before="72" w:line="221" w:lineRule="auto"/>
              <w:ind w:left="120"/>
            </w:pPr>
            <w:r>
              <w:rPr>
                <w:spacing w:val="3"/>
              </w:rPr>
              <w:t>区文旅体局</w:t>
            </w:r>
          </w:p>
        </w:tc>
        <w:tc>
          <w:tcPr>
            <w:tcW w:w="2738" w:type="dxa"/>
            <w:vAlign w:val="top"/>
          </w:tcPr>
          <w:p>
            <w:pPr>
              <w:spacing w:line="415" w:lineRule="auto"/>
              <w:rPr>
                <w:rFonts w:ascii="Arial"/>
                <w:sz w:val="21"/>
              </w:rPr>
            </w:pPr>
          </w:p>
          <w:p>
            <w:pPr>
              <w:pStyle w:val="6"/>
              <w:spacing w:before="72" w:line="282" w:lineRule="auto"/>
              <w:ind w:left="41" w:right="28"/>
              <w:jc w:val="both"/>
            </w:pPr>
            <w:r>
              <w:rPr>
                <w:spacing w:val="-1"/>
              </w:rPr>
              <w:t>加大适老化、适儿化健身设</w:t>
            </w:r>
            <w:r>
              <w:rPr>
                <w:spacing w:val="2"/>
              </w:rPr>
              <w:t xml:space="preserve"> </w:t>
            </w:r>
            <w:r>
              <w:rPr>
                <w:spacing w:val="1"/>
              </w:rPr>
              <w:t>施配建力度，建设口袋体育</w:t>
            </w:r>
            <w:r>
              <w:rPr>
                <w:spacing w:val="5"/>
              </w:rPr>
              <w:t xml:space="preserve"> </w:t>
            </w:r>
            <w:r>
              <w:rPr>
                <w:spacing w:val="6"/>
              </w:rPr>
              <w:t>公园1个。</w:t>
            </w:r>
          </w:p>
        </w:tc>
        <w:tc>
          <w:tcPr>
            <w:tcW w:w="7064" w:type="dxa"/>
            <w:vAlign w:val="top"/>
          </w:tcPr>
          <w:p>
            <w:pPr>
              <w:pStyle w:val="6"/>
              <w:spacing w:before="136" w:line="266" w:lineRule="auto"/>
              <w:ind w:left="93" w:firstLine="128"/>
            </w:pPr>
            <w:r>
              <w:rPr>
                <w:spacing w:val="-6"/>
              </w:rPr>
              <w:t>(1)按照口袋体育公园建设标准和要求，主动对接住房城乡建设部门，选</w:t>
            </w:r>
            <w:r>
              <w:t xml:space="preserve">  </w:t>
            </w:r>
            <w:r>
              <w:rPr>
                <w:spacing w:val="-15"/>
              </w:rPr>
              <w:t>择适合配建体育设施的口袋公园，建设篮球、乒乓球</w:t>
            </w:r>
            <w:r>
              <w:rPr>
                <w:spacing w:val="-16"/>
              </w:rPr>
              <w:t>等群众喜爱的健身场地，</w:t>
            </w:r>
            <w:r>
              <w:t xml:space="preserve"> </w:t>
            </w:r>
            <w:r>
              <w:rPr>
                <w:spacing w:val="-3"/>
              </w:rPr>
              <w:t>配建适老化、适儿化健身器材，进一步丰富群众</w:t>
            </w:r>
            <w:r>
              <w:rPr>
                <w:spacing w:val="-4"/>
              </w:rPr>
              <w:t>身边的健身设施。</w:t>
            </w:r>
          </w:p>
          <w:p>
            <w:pPr>
              <w:pStyle w:val="6"/>
              <w:spacing w:before="69" w:line="229" w:lineRule="auto"/>
              <w:ind w:left="103" w:firstLine="119"/>
            </w:pPr>
            <w:r>
              <w:rPr>
                <w:spacing w:val="-3"/>
              </w:rPr>
              <w:t>(2)在口袋体育公园开展社区运动会、全民健身志愿服务等赛事活动</w:t>
            </w:r>
            <w:r>
              <w:rPr>
                <w:spacing w:val="-4"/>
              </w:rPr>
              <w:t>，带</w:t>
            </w:r>
            <w:r>
              <w:t xml:space="preserve"> </w:t>
            </w:r>
            <w:r>
              <w:rPr>
                <w:spacing w:val="-1"/>
              </w:rPr>
              <w:t>动广大群众参与健身，指导群众科学健身，提高场地设施利用率。</w:t>
            </w:r>
          </w:p>
        </w:tc>
        <w:tc>
          <w:tcPr>
            <w:tcW w:w="1094" w:type="dxa"/>
            <w:vAlign w:val="top"/>
          </w:tcPr>
          <w:p>
            <w:pPr>
              <w:rPr>
                <w:rFonts w:ascii="Arial"/>
                <w:sz w:val="21"/>
              </w:rPr>
            </w:pPr>
          </w:p>
        </w:tc>
      </w:tr>
    </w:tbl>
    <w:p>
      <w:pPr>
        <w:pStyle w:val="2"/>
      </w:pPr>
    </w:p>
    <w:p>
      <w:pPr>
        <w:sectPr>
          <w:footerReference r:id="rId11" w:type="default"/>
          <w:pgSz w:w="16830" w:h="11900"/>
          <w:pgMar w:top="1011" w:right="2005" w:bottom="1240" w:left="1875" w:header="0" w:footer="967" w:gutter="0"/>
          <w:cols w:space="720" w:num="1"/>
        </w:sectPr>
      </w:pPr>
    </w:p>
    <w:p>
      <w:pPr>
        <w:spacing w:before="232"/>
      </w:pPr>
    </w:p>
    <w:tbl>
      <w:tblPr>
        <w:tblStyle w:val="5"/>
        <w:tblW w:w="12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369"/>
        <w:gridCol w:w="2728"/>
        <w:gridCol w:w="7064"/>
        <w:gridCol w:w="10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64" w:type="dxa"/>
            <w:vAlign w:val="top"/>
          </w:tcPr>
          <w:p>
            <w:pPr>
              <w:pStyle w:val="6"/>
              <w:spacing w:before="244" w:line="221" w:lineRule="auto"/>
              <w:ind w:left="114"/>
              <w:rPr>
                <w:sz w:val="21"/>
                <w:szCs w:val="21"/>
              </w:rPr>
            </w:pPr>
            <w:r>
              <w:rPr>
                <w:spacing w:val="6"/>
                <w:sz w:val="21"/>
                <w:szCs w:val="21"/>
              </w:rPr>
              <w:t>序号</w:t>
            </w:r>
          </w:p>
        </w:tc>
        <w:tc>
          <w:tcPr>
            <w:tcW w:w="1369" w:type="dxa"/>
            <w:vAlign w:val="top"/>
          </w:tcPr>
          <w:p>
            <w:pPr>
              <w:pStyle w:val="6"/>
              <w:spacing w:before="242" w:line="219" w:lineRule="auto"/>
              <w:ind w:left="260"/>
              <w:rPr>
                <w:sz w:val="21"/>
                <w:szCs w:val="21"/>
              </w:rPr>
            </w:pPr>
            <w:r>
              <w:rPr>
                <w:spacing w:val="-2"/>
                <w:sz w:val="21"/>
                <w:szCs w:val="21"/>
              </w:rPr>
              <w:t>牵头单位</w:t>
            </w:r>
          </w:p>
        </w:tc>
        <w:tc>
          <w:tcPr>
            <w:tcW w:w="2728" w:type="dxa"/>
            <w:vAlign w:val="top"/>
          </w:tcPr>
          <w:p>
            <w:pPr>
              <w:pStyle w:val="6"/>
              <w:spacing w:before="243" w:line="219" w:lineRule="auto"/>
              <w:ind w:left="591"/>
              <w:rPr>
                <w:sz w:val="21"/>
                <w:szCs w:val="21"/>
              </w:rPr>
            </w:pPr>
            <w:r>
              <w:rPr>
                <w:spacing w:val="-14"/>
                <w:sz w:val="21"/>
                <w:szCs w:val="21"/>
              </w:rPr>
              <w:t>实</w:t>
            </w:r>
            <w:r>
              <w:rPr>
                <w:spacing w:val="16"/>
                <w:sz w:val="21"/>
                <w:szCs w:val="21"/>
              </w:rPr>
              <w:t xml:space="preserve">  </w:t>
            </w:r>
            <w:r>
              <w:rPr>
                <w:spacing w:val="-14"/>
                <w:sz w:val="21"/>
                <w:szCs w:val="21"/>
              </w:rPr>
              <w:t>施</w:t>
            </w:r>
            <w:r>
              <w:rPr>
                <w:spacing w:val="29"/>
                <w:sz w:val="21"/>
                <w:szCs w:val="21"/>
              </w:rPr>
              <w:t xml:space="preserve">  </w:t>
            </w:r>
            <w:r>
              <w:rPr>
                <w:spacing w:val="-14"/>
                <w:sz w:val="21"/>
                <w:szCs w:val="21"/>
              </w:rPr>
              <w:t>内</w:t>
            </w:r>
            <w:r>
              <w:rPr>
                <w:spacing w:val="18"/>
                <w:sz w:val="21"/>
                <w:szCs w:val="21"/>
              </w:rPr>
              <w:t xml:space="preserve">  </w:t>
            </w:r>
            <w:r>
              <w:rPr>
                <w:spacing w:val="-14"/>
                <w:sz w:val="21"/>
                <w:szCs w:val="21"/>
              </w:rPr>
              <w:t>容</w:t>
            </w:r>
          </w:p>
        </w:tc>
        <w:tc>
          <w:tcPr>
            <w:tcW w:w="7064" w:type="dxa"/>
            <w:vAlign w:val="top"/>
          </w:tcPr>
          <w:p>
            <w:pPr>
              <w:pStyle w:val="6"/>
              <w:spacing w:before="244" w:line="220" w:lineRule="auto"/>
              <w:ind w:left="2783"/>
              <w:rPr>
                <w:sz w:val="21"/>
                <w:szCs w:val="21"/>
              </w:rPr>
            </w:pPr>
            <w:r>
              <w:rPr>
                <w:spacing w:val="-6"/>
                <w:sz w:val="21"/>
                <w:szCs w:val="21"/>
              </w:rPr>
              <w:t>推</w:t>
            </w:r>
            <w:r>
              <w:rPr>
                <w:spacing w:val="7"/>
                <w:sz w:val="21"/>
                <w:szCs w:val="21"/>
              </w:rPr>
              <w:t xml:space="preserve">  </w:t>
            </w:r>
            <w:r>
              <w:rPr>
                <w:spacing w:val="-6"/>
                <w:sz w:val="21"/>
                <w:szCs w:val="21"/>
              </w:rPr>
              <w:t>进</w:t>
            </w:r>
            <w:r>
              <w:rPr>
                <w:spacing w:val="9"/>
                <w:sz w:val="21"/>
                <w:szCs w:val="21"/>
              </w:rPr>
              <w:t xml:space="preserve">  </w:t>
            </w:r>
            <w:r>
              <w:rPr>
                <w:spacing w:val="-6"/>
                <w:sz w:val="21"/>
                <w:szCs w:val="21"/>
              </w:rPr>
              <w:t>措</w:t>
            </w:r>
            <w:r>
              <w:rPr>
                <w:spacing w:val="9"/>
                <w:sz w:val="21"/>
                <w:szCs w:val="21"/>
              </w:rPr>
              <w:t xml:space="preserve">  </w:t>
            </w:r>
            <w:r>
              <w:rPr>
                <w:spacing w:val="-6"/>
                <w:sz w:val="21"/>
                <w:szCs w:val="21"/>
              </w:rPr>
              <w:t>施</w:t>
            </w:r>
          </w:p>
        </w:tc>
        <w:tc>
          <w:tcPr>
            <w:tcW w:w="1094" w:type="dxa"/>
            <w:vAlign w:val="top"/>
          </w:tcPr>
          <w:p>
            <w:pPr>
              <w:pStyle w:val="6"/>
              <w:spacing w:before="244" w:line="221" w:lineRule="auto"/>
              <w:ind w:left="109"/>
              <w:rPr>
                <w:sz w:val="21"/>
                <w:szCs w:val="21"/>
              </w:rPr>
            </w:pPr>
            <w:r>
              <w:rPr>
                <w:spacing w:val="-6"/>
                <w:sz w:val="21"/>
                <w:szCs w:val="21"/>
              </w:rPr>
              <w:t>备</w:t>
            </w:r>
            <w:r>
              <w:rPr>
                <w:spacing w:val="6"/>
                <w:sz w:val="21"/>
                <w:szCs w:val="21"/>
              </w:rPr>
              <w:t xml:space="preserve"> </w:t>
            </w:r>
            <w:r>
              <w:rPr>
                <w:spacing w:val="-6"/>
                <w:sz w:val="21"/>
                <w:szCs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8" w:hRule="atLeast"/>
        </w:trPr>
        <w:tc>
          <w:tcPr>
            <w:tcW w:w="664" w:type="dxa"/>
            <w:vAlign w:val="top"/>
          </w:tcPr>
          <w:p>
            <w:pPr>
              <w:spacing w:line="295" w:lineRule="auto"/>
              <w:rPr>
                <w:rFonts w:ascii="Arial"/>
                <w:sz w:val="21"/>
              </w:rPr>
            </w:pPr>
          </w:p>
          <w:p>
            <w:pPr>
              <w:spacing w:line="295" w:lineRule="auto"/>
              <w:rPr>
                <w:rFonts w:ascii="Arial"/>
                <w:sz w:val="21"/>
              </w:rPr>
            </w:pPr>
          </w:p>
          <w:p>
            <w:pPr>
              <w:spacing w:line="296" w:lineRule="auto"/>
              <w:rPr>
                <w:rFonts w:ascii="Arial"/>
                <w:sz w:val="21"/>
              </w:rPr>
            </w:pPr>
          </w:p>
          <w:p>
            <w:pPr>
              <w:pStyle w:val="6"/>
              <w:spacing w:before="69" w:line="241" w:lineRule="auto"/>
              <w:ind w:left="214"/>
              <w:rPr>
                <w:sz w:val="21"/>
                <w:szCs w:val="21"/>
              </w:rPr>
            </w:pPr>
            <w:r>
              <w:rPr>
                <w:spacing w:val="-3"/>
                <w:sz w:val="21"/>
                <w:szCs w:val="21"/>
              </w:rPr>
              <w:t>24</w:t>
            </w:r>
          </w:p>
        </w:tc>
        <w:tc>
          <w:tcPr>
            <w:tcW w:w="1369"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68" w:line="256" w:lineRule="auto"/>
              <w:ind w:left="90" w:right="93" w:firstLine="20"/>
              <w:rPr>
                <w:sz w:val="21"/>
                <w:szCs w:val="21"/>
              </w:rPr>
            </w:pPr>
            <w:r>
              <w:rPr>
                <w:spacing w:val="21"/>
                <w:sz w:val="21"/>
                <w:szCs w:val="21"/>
              </w:rPr>
              <w:t>区住建局、</w:t>
            </w:r>
            <w:r>
              <w:rPr>
                <w:sz w:val="21"/>
                <w:szCs w:val="21"/>
              </w:rPr>
              <w:t xml:space="preserve"> </w:t>
            </w:r>
            <w:r>
              <w:rPr>
                <w:spacing w:val="4"/>
                <w:sz w:val="21"/>
                <w:szCs w:val="21"/>
              </w:rPr>
              <w:t>区城管局</w:t>
            </w:r>
          </w:p>
        </w:tc>
        <w:tc>
          <w:tcPr>
            <w:tcW w:w="2728" w:type="dxa"/>
            <w:vAlign w:val="top"/>
          </w:tcPr>
          <w:p>
            <w:pPr>
              <w:pStyle w:val="6"/>
              <w:spacing w:before="82" w:line="254" w:lineRule="auto"/>
              <w:ind w:left="92" w:right="81"/>
              <w:rPr>
                <w:sz w:val="21"/>
                <w:szCs w:val="21"/>
              </w:rPr>
            </w:pPr>
            <w:r>
              <w:rPr>
                <w:sz w:val="21"/>
                <w:szCs w:val="21"/>
              </w:rPr>
              <w:t>省级任务为稳步推进城镇老</w:t>
            </w:r>
            <w:r>
              <w:rPr>
                <w:spacing w:val="8"/>
                <w:sz w:val="21"/>
                <w:szCs w:val="21"/>
              </w:rPr>
              <w:t xml:space="preserve"> </w:t>
            </w:r>
            <w:r>
              <w:rPr>
                <w:spacing w:val="2"/>
                <w:sz w:val="21"/>
                <w:szCs w:val="21"/>
              </w:rPr>
              <w:t>旧小区改造，改造城镇老旧</w:t>
            </w:r>
            <w:r>
              <w:rPr>
                <w:sz w:val="21"/>
                <w:szCs w:val="21"/>
              </w:rPr>
              <w:t xml:space="preserve"> </w:t>
            </w:r>
            <w:r>
              <w:rPr>
                <w:spacing w:val="5"/>
                <w:sz w:val="21"/>
                <w:szCs w:val="21"/>
              </w:rPr>
              <w:t>小区600个左右。开展住宅</w:t>
            </w:r>
            <w:r>
              <w:rPr>
                <w:spacing w:val="2"/>
                <w:sz w:val="21"/>
                <w:szCs w:val="21"/>
              </w:rPr>
              <w:t xml:space="preserve"> </w:t>
            </w:r>
            <w:r>
              <w:rPr>
                <w:sz w:val="21"/>
                <w:szCs w:val="21"/>
              </w:rPr>
              <w:t>小区屋面渗漏、外墙脱落专</w:t>
            </w:r>
            <w:r>
              <w:rPr>
                <w:spacing w:val="10"/>
                <w:sz w:val="21"/>
                <w:szCs w:val="21"/>
              </w:rPr>
              <w:t xml:space="preserve"> </w:t>
            </w:r>
            <w:r>
              <w:rPr>
                <w:sz w:val="21"/>
                <w:szCs w:val="21"/>
              </w:rPr>
              <w:t>项治理，计划维修屋面外墙</w:t>
            </w:r>
            <w:r>
              <w:rPr>
                <w:spacing w:val="7"/>
                <w:sz w:val="21"/>
                <w:szCs w:val="21"/>
              </w:rPr>
              <w:t xml:space="preserve"> </w:t>
            </w:r>
            <w:r>
              <w:rPr>
                <w:spacing w:val="1"/>
                <w:sz w:val="21"/>
                <w:szCs w:val="21"/>
              </w:rPr>
              <w:t>渗漏面积200万平方米左</w:t>
            </w:r>
          </w:p>
          <w:p>
            <w:pPr>
              <w:pStyle w:val="6"/>
              <w:spacing w:line="225" w:lineRule="auto"/>
              <w:ind w:left="81"/>
              <w:rPr>
                <w:sz w:val="21"/>
                <w:szCs w:val="21"/>
              </w:rPr>
            </w:pPr>
            <w:r>
              <w:rPr>
                <w:spacing w:val="-2"/>
                <w:sz w:val="21"/>
                <w:szCs w:val="21"/>
              </w:rPr>
              <w:t>右。</w:t>
            </w:r>
          </w:p>
        </w:tc>
        <w:tc>
          <w:tcPr>
            <w:tcW w:w="7064"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pStyle w:val="6"/>
              <w:spacing w:before="68" w:line="224" w:lineRule="auto"/>
              <w:ind w:left="3473"/>
              <w:rPr>
                <w:sz w:val="21"/>
                <w:szCs w:val="21"/>
              </w:rPr>
            </w:pPr>
            <w:r>
              <w:rPr>
                <w:sz w:val="21"/>
                <w:szCs w:val="21"/>
              </w:rPr>
              <w:t>/</w:t>
            </w:r>
          </w:p>
        </w:tc>
        <w:tc>
          <w:tcPr>
            <w:tcW w:w="1094"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6"/>
              <w:spacing w:before="68" w:line="219" w:lineRule="auto"/>
              <w:ind w:left="109"/>
              <w:rPr>
                <w:sz w:val="21"/>
                <w:szCs w:val="21"/>
              </w:rPr>
            </w:pPr>
            <w:r>
              <w:rPr>
                <w:spacing w:val="-3"/>
                <w:sz w:val="21"/>
                <w:szCs w:val="21"/>
              </w:rPr>
              <w:t>无任务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664" w:type="dxa"/>
            <w:vAlign w:val="top"/>
          </w:tcPr>
          <w:p>
            <w:pPr>
              <w:spacing w:line="295" w:lineRule="auto"/>
              <w:rPr>
                <w:rFonts w:ascii="Arial"/>
                <w:sz w:val="21"/>
              </w:rPr>
            </w:pPr>
          </w:p>
          <w:p>
            <w:pPr>
              <w:spacing w:line="295" w:lineRule="auto"/>
              <w:rPr>
                <w:rFonts w:ascii="Arial"/>
                <w:sz w:val="21"/>
              </w:rPr>
            </w:pPr>
          </w:p>
          <w:p>
            <w:pPr>
              <w:pStyle w:val="6"/>
              <w:spacing w:before="68"/>
              <w:ind w:left="214"/>
              <w:rPr>
                <w:sz w:val="21"/>
                <w:szCs w:val="21"/>
              </w:rPr>
            </w:pPr>
            <w:r>
              <w:rPr>
                <w:spacing w:val="-3"/>
                <w:sz w:val="21"/>
                <w:szCs w:val="21"/>
              </w:rPr>
              <w:t>25</w:t>
            </w:r>
          </w:p>
        </w:tc>
        <w:tc>
          <w:tcPr>
            <w:tcW w:w="1369" w:type="dxa"/>
            <w:vAlign w:val="top"/>
          </w:tcPr>
          <w:p>
            <w:pPr>
              <w:spacing w:line="438" w:lineRule="auto"/>
              <w:rPr>
                <w:rFonts w:ascii="Arial"/>
                <w:sz w:val="21"/>
              </w:rPr>
            </w:pPr>
          </w:p>
          <w:p>
            <w:pPr>
              <w:pStyle w:val="6"/>
              <w:spacing w:before="69" w:line="269" w:lineRule="auto"/>
              <w:ind w:left="90" w:right="208"/>
              <w:rPr>
                <w:sz w:val="21"/>
                <w:szCs w:val="21"/>
              </w:rPr>
            </w:pPr>
            <w:r>
              <w:rPr>
                <w:spacing w:val="1"/>
                <w:sz w:val="21"/>
                <w:szCs w:val="21"/>
              </w:rPr>
              <w:t>区农业农村</w:t>
            </w:r>
            <w:r>
              <w:rPr>
                <w:spacing w:val="3"/>
                <w:sz w:val="21"/>
                <w:szCs w:val="21"/>
              </w:rPr>
              <w:t xml:space="preserve"> </w:t>
            </w:r>
            <w:r>
              <w:rPr>
                <w:sz w:val="21"/>
                <w:szCs w:val="21"/>
              </w:rPr>
              <w:t>局</w:t>
            </w:r>
          </w:p>
        </w:tc>
        <w:tc>
          <w:tcPr>
            <w:tcW w:w="2728" w:type="dxa"/>
            <w:vAlign w:val="top"/>
          </w:tcPr>
          <w:p>
            <w:pPr>
              <w:pStyle w:val="6"/>
              <w:spacing w:before="73" w:line="247" w:lineRule="auto"/>
              <w:ind w:left="92" w:right="96"/>
              <w:jc w:val="both"/>
              <w:rPr>
                <w:sz w:val="21"/>
                <w:szCs w:val="21"/>
              </w:rPr>
            </w:pPr>
            <w:r>
              <w:rPr>
                <w:spacing w:val="-1"/>
                <w:sz w:val="21"/>
                <w:szCs w:val="21"/>
              </w:rPr>
              <w:t>省级任务为实施农村供水保</w:t>
            </w:r>
            <w:r>
              <w:rPr>
                <w:sz w:val="21"/>
                <w:szCs w:val="21"/>
              </w:rPr>
              <w:t xml:space="preserve"> 障提升工程，开展规模化供</w:t>
            </w:r>
            <w:r>
              <w:rPr>
                <w:spacing w:val="6"/>
                <w:sz w:val="21"/>
                <w:szCs w:val="21"/>
              </w:rPr>
              <w:t xml:space="preserve"> </w:t>
            </w:r>
            <w:r>
              <w:rPr>
                <w:sz w:val="21"/>
                <w:szCs w:val="21"/>
              </w:rPr>
              <w:t>水工程配套提升及小型供水</w:t>
            </w:r>
            <w:r>
              <w:rPr>
                <w:spacing w:val="8"/>
                <w:sz w:val="21"/>
                <w:szCs w:val="21"/>
              </w:rPr>
              <w:t xml:space="preserve"> </w:t>
            </w:r>
            <w:r>
              <w:rPr>
                <w:spacing w:val="-1"/>
                <w:sz w:val="21"/>
                <w:szCs w:val="21"/>
              </w:rPr>
              <w:t>工程升级改造，提升供水保</w:t>
            </w:r>
            <w:r>
              <w:rPr>
                <w:sz w:val="21"/>
                <w:szCs w:val="21"/>
              </w:rPr>
              <w:t xml:space="preserve"> </w:t>
            </w:r>
            <w:r>
              <w:rPr>
                <w:spacing w:val="-1"/>
                <w:sz w:val="21"/>
                <w:szCs w:val="21"/>
              </w:rPr>
              <w:t>障水平人口210万。</w:t>
            </w:r>
          </w:p>
        </w:tc>
        <w:tc>
          <w:tcPr>
            <w:tcW w:w="7064" w:type="dxa"/>
            <w:vAlign w:val="top"/>
          </w:tcPr>
          <w:p>
            <w:pPr>
              <w:rPr>
                <w:rFonts w:ascii="Arial"/>
                <w:sz w:val="21"/>
              </w:rPr>
            </w:pPr>
          </w:p>
        </w:tc>
        <w:tc>
          <w:tcPr>
            <w:tcW w:w="1094" w:type="dxa"/>
            <w:vAlign w:val="top"/>
          </w:tcPr>
          <w:p>
            <w:pPr>
              <w:spacing w:line="284" w:lineRule="auto"/>
              <w:rPr>
                <w:rFonts w:ascii="Arial"/>
                <w:sz w:val="21"/>
              </w:rPr>
            </w:pPr>
          </w:p>
          <w:p>
            <w:pPr>
              <w:spacing w:line="285" w:lineRule="auto"/>
              <w:rPr>
                <w:rFonts w:ascii="Arial"/>
                <w:sz w:val="21"/>
              </w:rPr>
            </w:pPr>
          </w:p>
          <w:p>
            <w:pPr>
              <w:pStyle w:val="6"/>
              <w:spacing w:before="69" w:line="219" w:lineRule="auto"/>
              <w:ind w:left="109"/>
              <w:rPr>
                <w:sz w:val="21"/>
                <w:szCs w:val="21"/>
              </w:rPr>
            </w:pPr>
            <w:r>
              <w:rPr>
                <w:spacing w:val="-3"/>
                <w:sz w:val="21"/>
                <w:szCs w:val="21"/>
              </w:rPr>
              <w:t>无任务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0" w:hRule="atLeast"/>
        </w:trPr>
        <w:tc>
          <w:tcPr>
            <w:tcW w:w="664"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spacing w:before="69"/>
              <w:ind w:left="214"/>
              <w:rPr>
                <w:sz w:val="21"/>
                <w:szCs w:val="21"/>
              </w:rPr>
            </w:pPr>
            <w:r>
              <w:rPr>
                <w:spacing w:val="-3"/>
                <w:sz w:val="21"/>
                <w:szCs w:val="21"/>
              </w:rPr>
              <w:t>26</w:t>
            </w:r>
          </w:p>
        </w:tc>
        <w:tc>
          <w:tcPr>
            <w:tcW w:w="1369"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6"/>
              <w:spacing w:before="68" w:line="219" w:lineRule="auto"/>
              <w:ind w:left="90"/>
              <w:rPr>
                <w:sz w:val="21"/>
                <w:szCs w:val="21"/>
              </w:rPr>
            </w:pPr>
            <w:r>
              <w:rPr>
                <w:spacing w:val="2"/>
                <w:sz w:val="21"/>
                <w:szCs w:val="21"/>
              </w:rPr>
              <w:t>区总工会</w:t>
            </w:r>
          </w:p>
        </w:tc>
        <w:tc>
          <w:tcPr>
            <w:tcW w:w="2728"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6"/>
              <w:spacing w:before="69" w:line="286" w:lineRule="auto"/>
              <w:ind w:left="111" w:right="146" w:firstLine="30"/>
              <w:rPr>
                <w:sz w:val="21"/>
                <w:szCs w:val="21"/>
              </w:rPr>
            </w:pPr>
            <w:r>
              <w:rPr>
                <w:spacing w:val="1"/>
                <w:sz w:val="21"/>
                <w:szCs w:val="21"/>
              </w:rPr>
              <w:t xml:space="preserve">完善提升4家工会驿站服务 </w:t>
            </w:r>
            <w:r>
              <w:rPr>
                <w:spacing w:val="-2"/>
                <w:sz w:val="21"/>
                <w:szCs w:val="21"/>
              </w:rPr>
              <w:t>功能。</w:t>
            </w:r>
          </w:p>
        </w:tc>
        <w:tc>
          <w:tcPr>
            <w:tcW w:w="7064" w:type="dxa"/>
            <w:vAlign w:val="top"/>
          </w:tcPr>
          <w:p>
            <w:pPr>
              <w:pStyle w:val="6"/>
              <w:spacing w:before="70" w:line="262" w:lineRule="auto"/>
              <w:ind w:left="63" w:firstLine="177"/>
              <w:rPr>
                <w:sz w:val="21"/>
                <w:szCs w:val="21"/>
              </w:rPr>
            </w:pPr>
            <w:r>
              <w:rPr>
                <w:sz w:val="21"/>
                <w:szCs w:val="21"/>
              </w:rPr>
              <w:t>(1)科学布局、动态调整工会驿站建设点位</w:t>
            </w:r>
            <w:r>
              <w:rPr>
                <w:spacing w:val="-1"/>
                <w:sz w:val="21"/>
                <w:szCs w:val="21"/>
              </w:rPr>
              <w:t>。因地制宜部署充实政策宣传、</w:t>
            </w:r>
            <w:r>
              <w:rPr>
                <w:sz w:val="21"/>
                <w:szCs w:val="21"/>
              </w:rPr>
              <w:t xml:space="preserve"> </w:t>
            </w:r>
            <w:r>
              <w:rPr>
                <w:spacing w:val="-4"/>
                <w:sz w:val="21"/>
                <w:szCs w:val="21"/>
              </w:rPr>
              <w:t>休息、饮水、热饭、如厕指引、手机充电、</w:t>
            </w:r>
            <w:r>
              <w:rPr>
                <w:spacing w:val="-5"/>
                <w:sz w:val="21"/>
                <w:szCs w:val="21"/>
              </w:rPr>
              <w:t>冰箱或制冰机、理发、应急药品、</w:t>
            </w:r>
            <w:r>
              <w:rPr>
                <w:sz w:val="21"/>
                <w:szCs w:val="21"/>
              </w:rPr>
              <w:t xml:space="preserve"> </w:t>
            </w:r>
            <w:r>
              <w:rPr>
                <w:spacing w:val="-2"/>
                <w:sz w:val="21"/>
                <w:szCs w:val="21"/>
              </w:rPr>
              <w:t>小维修工具、针线包、雨具、</w:t>
            </w:r>
            <w:r>
              <w:rPr>
                <w:spacing w:val="-28"/>
                <w:sz w:val="21"/>
                <w:szCs w:val="21"/>
              </w:rPr>
              <w:t xml:space="preserve"> </w:t>
            </w:r>
            <w:r>
              <w:rPr>
                <w:spacing w:val="-2"/>
                <w:sz w:val="21"/>
                <w:szCs w:val="21"/>
              </w:rPr>
              <w:t>一键入会、爱心互献、法律援助指引等15项</w:t>
            </w:r>
            <w:r>
              <w:rPr>
                <w:sz w:val="21"/>
                <w:szCs w:val="21"/>
              </w:rPr>
              <w:t xml:space="preserve">   </w:t>
            </w:r>
            <w:r>
              <w:rPr>
                <w:spacing w:val="-3"/>
                <w:sz w:val="21"/>
                <w:szCs w:val="21"/>
              </w:rPr>
              <w:t>基本服务内容，在具备条件的驿站增加优惠餐</w:t>
            </w:r>
            <w:r>
              <w:rPr>
                <w:spacing w:val="-4"/>
                <w:sz w:val="21"/>
                <w:szCs w:val="21"/>
              </w:rPr>
              <w:t>、电动车充换电等服务。依托</w:t>
            </w:r>
            <w:r>
              <w:rPr>
                <w:sz w:val="21"/>
                <w:szCs w:val="21"/>
              </w:rPr>
              <w:t xml:space="preserve">  </w:t>
            </w:r>
            <w:r>
              <w:rPr>
                <w:spacing w:val="-2"/>
                <w:sz w:val="21"/>
                <w:szCs w:val="21"/>
              </w:rPr>
              <w:t>驿站开展“四季送”、法律宣传、就业服务等公益服务。</w:t>
            </w:r>
          </w:p>
          <w:p>
            <w:pPr>
              <w:pStyle w:val="6"/>
              <w:spacing w:line="216" w:lineRule="auto"/>
              <w:ind w:left="273"/>
              <w:rPr>
                <w:sz w:val="21"/>
                <w:szCs w:val="21"/>
              </w:rPr>
            </w:pPr>
            <w:r>
              <w:rPr>
                <w:sz w:val="21"/>
                <w:szCs w:val="21"/>
              </w:rPr>
              <w:t>(2)引导驿站结合实际实施《工会驿站管理运维规范》,完善驿站日常管</w:t>
            </w:r>
          </w:p>
          <w:p>
            <w:pPr>
              <w:pStyle w:val="6"/>
              <w:spacing w:before="65" w:line="247" w:lineRule="auto"/>
              <w:ind w:left="63" w:right="48"/>
              <w:rPr>
                <w:sz w:val="21"/>
                <w:szCs w:val="21"/>
              </w:rPr>
            </w:pPr>
            <w:r>
              <w:rPr>
                <w:sz w:val="21"/>
                <w:szCs w:val="21"/>
              </w:rPr>
              <w:t>理制度，健全落实驿站定期暗访调研、工会干部包保联系、户外劳动者意见</w:t>
            </w:r>
            <w:r>
              <w:rPr>
                <w:spacing w:val="10"/>
                <w:sz w:val="21"/>
                <w:szCs w:val="21"/>
              </w:rPr>
              <w:t xml:space="preserve"> </w:t>
            </w:r>
            <w:r>
              <w:rPr>
                <w:sz w:val="21"/>
                <w:szCs w:val="21"/>
              </w:rPr>
              <w:t>收集、驿站管理人员全员培训等工作制度，组织工会干部赴驿站开展“当一</w:t>
            </w:r>
            <w:r>
              <w:rPr>
                <w:spacing w:val="10"/>
                <w:sz w:val="21"/>
                <w:szCs w:val="21"/>
              </w:rPr>
              <w:t xml:space="preserve"> </w:t>
            </w:r>
            <w:r>
              <w:rPr>
                <w:spacing w:val="5"/>
                <w:sz w:val="21"/>
                <w:szCs w:val="21"/>
              </w:rPr>
              <w:t>天站长”活动。</w:t>
            </w:r>
          </w:p>
          <w:p>
            <w:pPr>
              <w:pStyle w:val="6"/>
              <w:spacing w:before="47" w:line="218" w:lineRule="auto"/>
              <w:ind w:left="213"/>
              <w:rPr>
                <w:sz w:val="21"/>
                <w:szCs w:val="21"/>
              </w:rPr>
            </w:pPr>
            <w:r>
              <w:rPr>
                <w:sz w:val="21"/>
                <w:szCs w:val="21"/>
              </w:rPr>
              <w:t>(3)通过公益广告、宣传片、短视频征集等形式培植工会驿站品牌，广泛</w:t>
            </w:r>
          </w:p>
          <w:p>
            <w:pPr>
              <w:pStyle w:val="6"/>
              <w:spacing w:before="54" w:line="239" w:lineRule="auto"/>
              <w:ind w:left="3" w:firstLine="59"/>
              <w:rPr>
                <w:sz w:val="21"/>
                <w:szCs w:val="21"/>
              </w:rPr>
            </w:pPr>
            <w:r>
              <w:rPr>
                <w:spacing w:val="-2"/>
                <w:sz w:val="21"/>
                <w:szCs w:val="21"/>
              </w:rPr>
              <w:t>宣传党和政府及工会组织对户外劳动者的关</w:t>
            </w:r>
            <w:r>
              <w:rPr>
                <w:spacing w:val="-3"/>
                <w:sz w:val="21"/>
                <w:szCs w:val="21"/>
              </w:rPr>
              <w:t>心关爱，宣传工会驿站的服务功</w:t>
            </w:r>
            <w:r>
              <w:rPr>
                <w:sz w:val="21"/>
                <w:szCs w:val="21"/>
              </w:rPr>
              <w:t xml:space="preserve">  能、服务对象、服务成效，讲好工会驿站故事。及时更新“职工之家APP”、</w:t>
            </w:r>
            <w:r>
              <w:rPr>
                <w:spacing w:val="14"/>
                <w:sz w:val="21"/>
                <w:szCs w:val="21"/>
              </w:rPr>
              <w:t xml:space="preserve"> </w:t>
            </w:r>
            <w:r>
              <w:rPr>
                <w:spacing w:val="-1"/>
                <w:sz w:val="21"/>
                <w:szCs w:val="21"/>
              </w:rPr>
              <w:t>在高德、百度地图上线驿站位置和服务信息，建立工会</w:t>
            </w:r>
            <w:r>
              <w:rPr>
                <w:spacing w:val="-2"/>
                <w:sz w:val="21"/>
                <w:szCs w:val="21"/>
              </w:rPr>
              <w:t>驿站网络舆情应急处</w:t>
            </w:r>
            <w:r>
              <w:rPr>
                <w:sz w:val="21"/>
                <w:szCs w:val="21"/>
              </w:rPr>
              <w:t xml:space="preserve">  </w:t>
            </w:r>
            <w:r>
              <w:rPr>
                <w:spacing w:val="16"/>
                <w:sz w:val="21"/>
                <w:szCs w:val="21"/>
              </w:rPr>
              <w:t>置机制。</w:t>
            </w:r>
          </w:p>
        </w:tc>
        <w:tc>
          <w:tcPr>
            <w:tcW w:w="1094" w:type="dxa"/>
            <w:vAlign w:val="top"/>
          </w:tcPr>
          <w:p>
            <w:pPr>
              <w:rPr>
                <w:rFonts w:ascii="Arial"/>
                <w:sz w:val="21"/>
              </w:rPr>
            </w:pPr>
          </w:p>
        </w:tc>
      </w:tr>
    </w:tbl>
    <w:p>
      <w:pPr>
        <w:pStyle w:val="2"/>
      </w:pPr>
    </w:p>
    <w:p>
      <w:pPr>
        <w:sectPr>
          <w:footerReference r:id="rId12" w:type="default"/>
          <w:pgSz w:w="16830" w:h="11900"/>
          <w:pgMar w:top="1011" w:right="2095" w:bottom="1394" w:left="1805" w:header="0" w:footer="1070" w:gutter="0"/>
          <w:cols w:space="720" w:num="1"/>
        </w:sectPr>
      </w:pPr>
    </w:p>
    <w:p>
      <w:pPr>
        <w:spacing w:before="20"/>
      </w:pPr>
    </w:p>
    <w:p>
      <w:pPr>
        <w:spacing w:before="20"/>
      </w:pPr>
    </w:p>
    <w:tbl>
      <w:tblPr>
        <w:tblStyle w:val="5"/>
        <w:tblW w:w="12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359"/>
        <w:gridCol w:w="2738"/>
        <w:gridCol w:w="7074"/>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74" w:type="dxa"/>
            <w:vAlign w:val="top"/>
          </w:tcPr>
          <w:p>
            <w:pPr>
              <w:pStyle w:val="6"/>
              <w:spacing w:before="245" w:line="221" w:lineRule="auto"/>
              <w:ind w:left="104"/>
            </w:pPr>
            <w:r>
              <w:rPr>
                <w:spacing w:val="6"/>
              </w:rPr>
              <w:t>序号</w:t>
            </w:r>
          </w:p>
        </w:tc>
        <w:tc>
          <w:tcPr>
            <w:tcW w:w="1359" w:type="dxa"/>
            <w:vAlign w:val="top"/>
          </w:tcPr>
          <w:p>
            <w:pPr>
              <w:pStyle w:val="6"/>
              <w:spacing w:before="242" w:line="219" w:lineRule="auto"/>
              <w:ind w:left="260"/>
            </w:pPr>
            <w:r>
              <w:rPr>
                <w:spacing w:val="-2"/>
              </w:rPr>
              <w:t>牵头单位</w:t>
            </w:r>
          </w:p>
        </w:tc>
        <w:tc>
          <w:tcPr>
            <w:tcW w:w="2738" w:type="dxa"/>
            <w:vAlign w:val="top"/>
          </w:tcPr>
          <w:p>
            <w:pPr>
              <w:pStyle w:val="6"/>
              <w:spacing w:before="244" w:line="219" w:lineRule="auto"/>
              <w:ind w:left="601"/>
            </w:pPr>
            <w:r>
              <w:rPr>
                <w:spacing w:val="-15"/>
              </w:rPr>
              <w:t>实</w:t>
            </w:r>
            <w:r>
              <w:rPr>
                <w:spacing w:val="5"/>
              </w:rPr>
              <w:t xml:space="preserve">  </w:t>
            </w:r>
            <w:r>
              <w:rPr>
                <w:spacing w:val="-15"/>
              </w:rPr>
              <w:t>施</w:t>
            </w:r>
            <w:r>
              <w:rPr>
                <w:spacing w:val="19"/>
              </w:rPr>
              <w:t xml:space="preserve">  </w:t>
            </w:r>
            <w:r>
              <w:rPr>
                <w:spacing w:val="-15"/>
              </w:rPr>
              <w:t>内</w:t>
            </w:r>
            <w:r>
              <w:rPr>
                <w:spacing w:val="6"/>
              </w:rPr>
              <w:t xml:space="preserve">  </w:t>
            </w:r>
            <w:r>
              <w:rPr>
                <w:spacing w:val="-15"/>
              </w:rPr>
              <w:t>容</w:t>
            </w:r>
          </w:p>
        </w:tc>
        <w:tc>
          <w:tcPr>
            <w:tcW w:w="7074" w:type="dxa"/>
            <w:vAlign w:val="top"/>
          </w:tcPr>
          <w:p>
            <w:pPr>
              <w:pStyle w:val="6"/>
              <w:spacing w:before="244" w:line="220" w:lineRule="auto"/>
              <w:ind w:left="2803"/>
            </w:pPr>
            <w:r>
              <w:rPr>
                <w:spacing w:val="-5"/>
              </w:rPr>
              <w:t>推  进</w:t>
            </w:r>
            <w:r>
              <w:rPr>
                <w:spacing w:val="3"/>
              </w:rPr>
              <w:t xml:space="preserve">  </w:t>
            </w:r>
            <w:r>
              <w:rPr>
                <w:spacing w:val="-5"/>
              </w:rPr>
              <w:t>措</w:t>
            </w:r>
            <w:r>
              <w:t xml:space="preserve">  </w:t>
            </w:r>
            <w:r>
              <w:rPr>
                <w:spacing w:val="-5"/>
              </w:rPr>
              <w:t>施</w:t>
            </w:r>
          </w:p>
        </w:tc>
        <w:tc>
          <w:tcPr>
            <w:tcW w:w="1084" w:type="dxa"/>
            <w:vAlign w:val="top"/>
          </w:tcPr>
          <w:p>
            <w:pPr>
              <w:pStyle w:val="6"/>
              <w:spacing w:before="245" w:line="221" w:lineRule="auto"/>
              <w:ind w:left="120"/>
            </w:pPr>
            <w:r>
              <w:rPr>
                <w:spacing w:val="-6"/>
              </w:rPr>
              <w:t>备</w:t>
            </w:r>
            <w:r>
              <w:rPr>
                <w:spacing w:val="11"/>
              </w:rPr>
              <w:t xml:space="preserve"> </w:t>
            </w:r>
            <w:r>
              <w:rPr>
                <w:spacing w:val="-6"/>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674" w:type="dxa"/>
            <w:vAlign w:val="top"/>
          </w:tcPr>
          <w:p>
            <w:pPr>
              <w:spacing w:line="437" w:lineRule="auto"/>
              <w:rPr>
                <w:rFonts w:ascii="Arial"/>
                <w:sz w:val="21"/>
              </w:rPr>
            </w:pPr>
          </w:p>
          <w:p>
            <w:pPr>
              <w:pStyle w:val="6"/>
              <w:spacing w:before="71"/>
              <w:ind w:left="214"/>
            </w:pPr>
            <w:r>
              <w:rPr>
                <w:spacing w:val="-3"/>
              </w:rPr>
              <w:t>27</w:t>
            </w:r>
          </w:p>
        </w:tc>
        <w:tc>
          <w:tcPr>
            <w:tcW w:w="1359" w:type="dxa"/>
            <w:vAlign w:val="top"/>
          </w:tcPr>
          <w:p>
            <w:pPr>
              <w:spacing w:line="417" w:lineRule="auto"/>
              <w:rPr>
                <w:rFonts w:ascii="Arial"/>
                <w:sz w:val="21"/>
              </w:rPr>
            </w:pPr>
          </w:p>
          <w:p>
            <w:pPr>
              <w:pStyle w:val="6"/>
              <w:spacing w:before="71" w:line="221" w:lineRule="auto"/>
              <w:ind w:left="70"/>
            </w:pPr>
            <w:r>
              <w:rPr>
                <w:spacing w:val="4"/>
              </w:rPr>
              <w:t>区交通局</w:t>
            </w:r>
          </w:p>
        </w:tc>
        <w:tc>
          <w:tcPr>
            <w:tcW w:w="2738" w:type="dxa"/>
            <w:vAlign w:val="top"/>
          </w:tcPr>
          <w:p>
            <w:pPr>
              <w:pStyle w:val="6"/>
              <w:spacing w:before="239" w:line="245" w:lineRule="auto"/>
              <w:ind w:left="42" w:right="22"/>
              <w:jc w:val="both"/>
            </w:pPr>
            <w:r>
              <w:rPr>
                <w:spacing w:val="-1"/>
              </w:rPr>
              <w:t>推进邮快合作、客货邮融合</w:t>
            </w:r>
            <w:r>
              <w:rPr>
                <w:spacing w:val="2"/>
              </w:rPr>
              <w:t xml:space="preserve"> </w:t>
            </w:r>
            <w:r>
              <w:rPr>
                <w:spacing w:val="1"/>
              </w:rPr>
              <w:t>发展，建设重点乡镇运营中</w:t>
            </w:r>
            <w:r>
              <w:rPr>
                <w:spacing w:val="10"/>
              </w:rPr>
              <w:t xml:space="preserve"> </w:t>
            </w:r>
            <w:r>
              <w:rPr>
                <w:spacing w:val="8"/>
              </w:rPr>
              <w:t>心不少于1个。</w:t>
            </w:r>
          </w:p>
        </w:tc>
        <w:tc>
          <w:tcPr>
            <w:tcW w:w="7074" w:type="dxa"/>
            <w:vAlign w:val="top"/>
          </w:tcPr>
          <w:p>
            <w:pPr>
              <w:pStyle w:val="6"/>
              <w:spacing w:before="38" w:line="239" w:lineRule="auto"/>
              <w:ind w:left="93"/>
              <w:jc w:val="both"/>
            </w:pPr>
            <w:r>
              <w:rPr>
                <w:spacing w:val="-9"/>
              </w:rPr>
              <w:t>统筹全区农村地区寄递物流资源，坚持“因地制宜、合理扩容、适度超前”</w:t>
            </w:r>
            <w:r>
              <w:rPr>
                <w:spacing w:val="6"/>
              </w:rPr>
              <w:t xml:space="preserve"> </w:t>
            </w:r>
            <w:r>
              <w:rPr>
                <w:spacing w:val="-15"/>
              </w:rPr>
              <w:t>的原则，推动邮政与快递、交通、供销、商贸流通等物流平台深化合作，共</w:t>
            </w:r>
            <w:r>
              <w:rPr>
                <w:spacing w:val="2"/>
              </w:rPr>
              <w:t xml:space="preserve">  </w:t>
            </w:r>
            <w:r>
              <w:rPr>
                <w:spacing w:val="-15"/>
              </w:rPr>
              <w:t>建共用末端配送网络，加快推广农村寄递物流共同配送模式，着力提升邮快</w:t>
            </w:r>
            <w:r>
              <w:rPr>
                <w:spacing w:val="1"/>
              </w:rPr>
              <w:t xml:space="preserve">   </w:t>
            </w:r>
            <w:r>
              <w:rPr>
                <w:spacing w:val="-7"/>
              </w:rPr>
              <w:t>合作业务规模，切实降低农村末端寄递成本</w:t>
            </w:r>
          </w:p>
        </w:tc>
        <w:tc>
          <w:tcPr>
            <w:tcW w:w="10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8" w:hRule="atLeast"/>
        </w:trPr>
        <w:tc>
          <w:tcPr>
            <w:tcW w:w="674" w:type="dxa"/>
            <w:vAlign w:val="top"/>
          </w:tcPr>
          <w:p>
            <w:pPr>
              <w:spacing w:line="294" w:lineRule="auto"/>
              <w:rPr>
                <w:rFonts w:ascii="Arial"/>
                <w:sz w:val="21"/>
              </w:rPr>
            </w:pPr>
          </w:p>
          <w:p>
            <w:pPr>
              <w:spacing w:line="294" w:lineRule="auto"/>
              <w:rPr>
                <w:rFonts w:ascii="Arial"/>
                <w:sz w:val="21"/>
              </w:rPr>
            </w:pPr>
          </w:p>
          <w:p>
            <w:pPr>
              <w:pStyle w:val="6"/>
              <w:spacing w:before="71"/>
              <w:ind w:left="214"/>
            </w:pPr>
            <w:r>
              <w:rPr>
                <w:spacing w:val="-3"/>
              </w:rPr>
              <w:t>28</w:t>
            </w:r>
          </w:p>
        </w:tc>
        <w:tc>
          <w:tcPr>
            <w:tcW w:w="1359" w:type="dxa"/>
            <w:vAlign w:val="top"/>
          </w:tcPr>
          <w:p>
            <w:pPr>
              <w:spacing w:line="283" w:lineRule="auto"/>
              <w:rPr>
                <w:rFonts w:ascii="Arial"/>
                <w:sz w:val="21"/>
              </w:rPr>
            </w:pPr>
          </w:p>
          <w:p>
            <w:pPr>
              <w:spacing w:line="284" w:lineRule="auto"/>
              <w:rPr>
                <w:rFonts w:ascii="Arial"/>
                <w:sz w:val="21"/>
              </w:rPr>
            </w:pPr>
          </w:p>
          <w:p>
            <w:pPr>
              <w:pStyle w:val="6"/>
              <w:spacing w:before="71" w:line="219" w:lineRule="auto"/>
              <w:ind w:left="70"/>
            </w:pPr>
            <w:r>
              <w:rPr>
                <w:spacing w:val="2"/>
              </w:rPr>
              <w:t>区发改委</w:t>
            </w:r>
          </w:p>
        </w:tc>
        <w:tc>
          <w:tcPr>
            <w:tcW w:w="2738" w:type="dxa"/>
            <w:vAlign w:val="top"/>
          </w:tcPr>
          <w:p>
            <w:pPr>
              <w:spacing w:line="458" w:lineRule="auto"/>
              <w:rPr>
                <w:rFonts w:ascii="Arial"/>
                <w:sz w:val="21"/>
              </w:rPr>
            </w:pPr>
          </w:p>
          <w:p>
            <w:pPr>
              <w:pStyle w:val="6"/>
              <w:spacing w:before="71" w:line="263" w:lineRule="auto"/>
              <w:ind w:left="92" w:right="114"/>
            </w:pPr>
            <w:r>
              <w:rPr>
                <w:spacing w:val="-1"/>
              </w:rPr>
              <w:t>推进6家商超运行“惠民菜</w:t>
            </w:r>
            <w:r>
              <w:rPr>
                <w:spacing w:val="2"/>
              </w:rPr>
              <w:t xml:space="preserve"> </w:t>
            </w:r>
            <w:r>
              <w:rPr>
                <w:spacing w:val="-1"/>
              </w:rPr>
              <w:t>篮子”。</w:t>
            </w:r>
          </w:p>
        </w:tc>
        <w:tc>
          <w:tcPr>
            <w:tcW w:w="7074" w:type="dxa"/>
            <w:vAlign w:val="top"/>
          </w:tcPr>
          <w:p>
            <w:pPr>
              <w:pStyle w:val="6"/>
              <w:spacing w:before="69"/>
              <w:ind w:left="123" w:firstLine="100"/>
            </w:pPr>
            <w:r>
              <w:rPr>
                <w:spacing w:val="-3"/>
              </w:rPr>
              <w:t>(1)按照市级统一要求在主要节假日、突发事件及价格大幅上涨期间平价</w:t>
            </w:r>
            <w:r>
              <w:rPr>
                <w:spacing w:val="8"/>
              </w:rPr>
              <w:t xml:space="preserve"> </w:t>
            </w:r>
            <w:r>
              <w:rPr>
                <w:spacing w:val="-1"/>
              </w:rPr>
              <w:t>销售蔬菜、猪肉等，引导市场预期，保障群众基本生活。</w:t>
            </w:r>
          </w:p>
          <w:p>
            <w:pPr>
              <w:pStyle w:val="6"/>
              <w:spacing w:before="38" w:line="232" w:lineRule="auto"/>
              <w:ind w:left="123" w:firstLine="109"/>
            </w:pPr>
            <w:r>
              <w:rPr>
                <w:spacing w:val="-9"/>
              </w:rPr>
              <w:t>(2)加强对“惠民菜篮子”门店政策宣传</w:t>
            </w:r>
            <w:r>
              <w:rPr>
                <w:spacing w:val="-10"/>
              </w:rPr>
              <w:t>和日常巡查监管，指导和督促“惠</w:t>
            </w:r>
            <w:r>
              <w:t xml:space="preserve"> </w:t>
            </w:r>
            <w:r>
              <w:rPr>
                <w:spacing w:val="-1"/>
              </w:rPr>
              <w:t>民菜篮子”门店规范经营。</w:t>
            </w:r>
          </w:p>
          <w:p>
            <w:pPr>
              <w:pStyle w:val="6"/>
              <w:spacing w:before="17" w:line="199" w:lineRule="auto"/>
              <w:ind w:left="253"/>
            </w:pPr>
            <w:r>
              <w:t>(3)督促电力部门、交通部门给予政策支</w:t>
            </w:r>
            <w:r>
              <w:rPr>
                <w:spacing w:val="-1"/>
              </w:rPr>
              <w:t>持。</w:t>
            </w:r>
          </w:p>
        </w:tc>
        <w:tc>
          <w:tcPr>
            <w:tcW w:w="10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8" w:hRule="atLeast"/>
        </w:trPr>
        <w:tc>
          <w:tcPr>
            <w:tcW w:w="674" w:type="dxa"/>
            <w:vAlign w:val="top"/>
          </w:tcPr>
          <w:p>
            <w:pPr>
              <w:spacing w:line="300" w:lineRule="auto"/>
              <w:rPr>
                <w:rFonts w:ascii="Arial"/>
                <w:sz w:val="21"/>
              </w:rPr>
            </w:pPr>
          </w:p>
          <w:p>
            <w:pPr>
              <w:spacing w:line="300" w:lineRule="auto"/>
              <w:rPr>
                <w:rFonts w:ascii="Arial"/>
                <w:sz w:val="21"/>
              </w:rPr>
            </w:pPr>
          </w:p>
          <w:p>
            <w:pPr>
              <w:pStyle w:val="6"/>
              <w:spacing w:before="71"/>
              <w:ind w:left="214"/>
            </w:pPr>
            <w:r>
              <w:rPr>
                <w:spacing w:val="-3"/>
              </w:rPr>
              <w:t>29</w:t>
            </w:r>
          </w:p>
        </w:tc>
        <w:tc>
          <w:tcPr>
            <w:tcW w:w="1359" w:type="dxa"/>
            <w:vAlign w:val="top"/>
          </w:tcPr>
          <w:p>
            <w:pPr>
              <w:spacing w:line="440" w:lineRule="auto"/>
              <w:rPr>
                <w:rFonts w:ascii="Arial"/>
                <w:sz w:val="21"/>
              </w:rPr>
            </w:pPr>
          </w:p>
          <w:p>
            <w:pPr>
              <w:pStyle w:val="6"/>
              <w:spacing w:before="72" w:line="264" w:lineRule="auto"/>
              <w:ind w:left="70" w:right="165"/>
            </w:pPr>
            <w:r>
              <w:rPr>
                <w:spacing w:val="2"/>
              </w:rPr>
              <w:t>区市场监管</w:t>
            </w:r>
            <w:r>
              <w:rPr>
                <w:spacing w:val="1"/>
              </w:rPr>
              <w:t xml:space="preserve"> </w:t>
            </w:r>
            <w:r>
              <w:t>局</w:t>
            </w:r>
          </w:p>
        </w:tc>
        <w:tc>
          <w:tcPr>
            <w:tcW w:w="2738" w:type="dxa"/>
            <w:vAlign w:val="top"/>
          </w:tcPr>
          <w:p>
            <w:pPr>
              <w:pStyle w:val="6"/>
              <w:spacing w:before="72" w:line="255" w:lineRule="auto"/>
              <w:ind w:left="85" w:hanging="74"/>
            </w:pPr>
            <w:r>
              <w:rPr>
                <w:spacing w:val="-12"/>
              </w:rPr>
              <w:t>省级任务为实施“食安名坊”</w:t>
            </w:r>
            <w:r>
              <w:rPr>
                <w:spacing w:val="11"/>
              </w:rPr>
              <w:t xml:space="preserve"> </w:t>
            </w:r>
            <w:r>
              <w:rPr>
                <w:spacing w:val="-14"/>
              </w:rPr>
              <w:t>培育行动，培育100家“食</w:t>
            </w:r>
          </w:p>
          <w:p>
            <w:pPr>
              <w:pStyle w:val="6"/>
              <w:spacing w:before="2" w:line="228" w:lineRule="auto"/>
              <w:ind w:left="42" w:right="33" w:firstLine="49"/>
            </w:pPr>
            <w:r>
              <w:t>安名坊”,并通过可视化非</w:t>
            </w:r>
            <w:r>
              <w:rPr>
                <w:spacing w:val="8"/>
              </w:rPr>
              <w:t xml:space="preserve"> </w:t>
            </w:r>
            <w:r>
              <w:rPr>
                <w:spacing w:val="1"/>
              </w:rPr>
              <w:t>现场检查，推动食品小作坊</w:t>
            </w:r>
            <w:r>
              <w:t xml:space="preserve"> </w:t>
            </w:r>
            <w:r>
              <w:rPr>
                <w:spacing w:val="4"/>
              </w:rPr>
              <w:t>产业高质量发展。</w:t>
            </w:r>
          </w:p>
        </w:tc>
        <w:tc>
          <w:tcPr>
            <w:tcW w:w="7074" w:type="dxa"/>
            <w:vAlign w:val="top"/>
          </w:tcPr>
          <w:p>
            <w:pPr>
              <w:spacing w:line="292" w:lineRule="auto"/>
              <w:rPr>
                <w:rFonts w:ascii="Arial"/>
                <w:sz w:val="21"/>
              </w:rPr>
            </w:pPr>
          </w:p>
          <w:p>
            <w:pPr>
              <w:spacing w:line="293" w:lineRule="auto"/>
              <w:rPr>
                <w:rFonts w:ascii="Arial"/>
                <w:sz w:val="21"/>
              </w:rPr>
            </w:pPr>
          </w:p>
          <w:p>
            <w:pPr>
              <w:pStyle w:val="6"/>
              <w:spacing w:before="71" w:line="224" w:lineRule="auto"/>
              <w:ind w:left="73"/>
            </w:pPr>
            <w:r>
              <w:t>/</w:t>
            </w:r>
          </w:p>
        </w:tc>
        <w:tc>
          <w:tcPr>
            <w:tcW w:w="1084" w:type="dxa"/>
            <w:vAlign w:val="top"/>
          </w:tcPr>
          <w:p>
            <w:pPr>
              <w:spacing w:line="289" w:lineRule="auto"/>
              <w:rPr>
                <w:rFonts w:ascii="Arial"/>
                <w:sz w:val="21"/>
              </w:rPr>
            </w:pPr>
          </w:p>
          <w:p>
            <w:pPr>
              <w:spacing w:line="290" w:lineRule="auto"/>
              <w:rPr>
                <w:rFonts w:ascii="Arial"/>
                <w:sz w:val="21"/>
              </w:rPr>
            </w:pPr>
          </w:p>
          <w:p>
            <w:pPr>
              <w:pStyle w:val="6"/>
              <w:spacing w:before="71" w:line="219" w:lineRule="auto"/>
              <w:ind w:left="120"/>
            </w:pPr>
            <w:r>
              <w:rPr>
                <w:spacing w:val="3"/>
              </w:rPr>
              <w:t>无任务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2" w:hRule="atLeast"/>
        </w:trPr>
        <w:tc>
          <w:tcPr>
            <w:tcW w:w="674"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6"/>
              <w:spacing w:before="72"/>
              <w:ind w:left="214"/>
            </w:pPr>
            <w:r>
              <w:rPr>
                <w:spacing w:val="-4"/>
              </w:rPr>
              <w:t>30</w:t>
            </w:r>
          </w:p>
        </w:tc>
        <w:tc>
          <w:tcPr>
            <w:tcW w:w="1359"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6"/>
              <w:spacing w:before="71" w:line="273" w:lineRule="auto"/>
              <w:ind w:left="70" w:right="125" w:firstLine="40"/>
            </w:pPr>
            <w:r>
              <w:rPr>
                <w:spacing w:val="2"/>
              </w:rPr>
              <w:t>区市场监管</w:t>
            </w:r>
            <w:r>
              <w:rPr>
                <w:spacing w:val="1"/>
              </w:rPr>
              <w:t xml:space="preserve"> </w:t>
            </w:r>
            <w:r>
              <w:t>局</w:t>
            </w:r>
          </w:p>
        </w:tc>
        <w:tc>
          <w:tcPr>
            <w:tcW w:w="2738" w:type="dxa"/>
            <w:vAlign w:val="top"/>
          </w:tcPr>
          <w:p>
            <w:pPr>
              <w:spacing w:line="305" w:lineRule="auto"/>
              <w:rPr>
                <w:rFonts w:ascii="Arial"/>
                <w:sz w:val="21"/>
              </w:rPr>
            </w:pPr>
          </w:p>
          <w:p>
            <w:pPr>
              <w:spacing w:line="306" w:lineRule="auto"/>
              <w:rPr>
                <w:rFonts w:ascii="Arial"/>
                <w:sz w:val="21"/>
              </w:rPr>
            </w:pPr>
          </w:p>
          <w:p>
            <w:pPr>
              <w:pStyle w:val="6"/>
              <w:spacing w:before="72" w:line="220" w:lineRule="auto"/>
              <w:ind w:left="151"/>
            </w:pPr>
            <w:r>
              <w:rPr>
                <w:spacing w:val="-1"/>
              </w:rPr>
              <w:t>推动全区63家学校食堂实</w:t>
            </w:r>
          </w:p>
          <w:p>
            <w:pPr>
              <w:pStyle w:val="6"/>
              <w:spacing w:before="14" w:line="259" w:lineRule="auto"/>
              <w:ind w:left="40" w:hanging="29"/>
            </w:pPr>
            <w:r>
              <w:rPr>
                <w:spacing w:val="-3"/>
              </w:rPr>
              <w:t>现“互联网+AI+明厨亮灶”,</w:t>
            </w:r>
            <w:r>
              <w:rPr>
                <w:spacing w:val="10"/>
              </w:rPr>
              <w:t xml:space="preserve"> </w:t>
            </w:r>
            <w:r>
              <w:rPr>
                <w:spacing w:val="-4"/>
              </w:rPr>
              <w:t>更好地守护学生等广大消费</w:t>
            </w:r>
            <w:r>
              <w:t xml:space="preserve">  </w:t>
            </w:r>
            <w:r>
              <w:rPr>
                <w:spacing w:val="1"/>
              </w:rPr>
              <w:t>者“舌尖上的安全”。</w:t>
            </w:r>
          </w:p>
        </w:tc>
        <w:tc>
          <w:tcPr>
            <w:tcW w:w="7074" w:type="dxa"/>
            <w:vAlign w:val="top"/>
          </w:tcPr>
          <w:p>
            <w:pPr>
              <w:pStyle w:val="6"/>
              <w:spacing w:before="75"/>
              <w:ind w:left="113" w:firstLine="118"/>
            </w:pPr>
            <w:r>
              <w:rPr>
                <w:spacing w:val="-3"/>
              </w:rPr>
              <w:t>(1)摸清全区各级各类学校食堂和校外供餐单位数量、已有摄像头数量、</w:t>
            </w:r>
            <w:r>
              <w:t xml:space="preserve"> </w:t>
            </w:r>
            <w:r>
              <w:rPr>
                <w:spacing w:val="-3"/>
              </w:rPr>
              <w:t>存储情况等底数，以及市场监管和教育部门已</w:t>
            </w:r>
            <w:r>
              <w:rPr>
                <w:spacing w:val="-4"/>
              </w:rPr>
              <w:t>建平台相关情况。</w:t>
            </w:r>
          </w:p>
          <w:p>
            <w:pPr>
              <w:pStyle w:val="6"/>
              <w:spacing w:before="28" w:line="241" w:lineRule="auto"/>
              <w:ind w:left="113" w:firstLine="116"/>
            </w:pPr>
            <w:r>
              <w:rPr>
                <w:spacing w:val="-9"/>
              </w:rPr>
              <w:t>(2)对已接入教育和市场监管部门平台的学校食</w:t>
            </w:r>
            <w:r>
              <w:rPr>
                <w:spacing w:val="-10"/>
              </w:rPr>
              <w:t>堂视频，以“平台对平台”</w:t>
            </w:r>
            <w:r>
              <w:t xml:space="preserve"> </w:t>
            </w:r>
            <w:r>
              <w:rPr>
                <w:spacing w:val="-15"/>
              </w:rPr>
              <w:t>方式与省级平台对接；对未安装摄像头以及已安装摄像头但未接入当地</w:t>
            </w:r>
            <w:r>
              <w:rPr>
                <w:spacing w:val="-16"/>
              </w:rPr>
              <w:t>平台</w:t>
            </w:r>
            <w:r>
              <w:t xml:space="preserve">  </w:t>
            </w:r>
            <w:r>
              <w:rPr>
                <w:spacing w:val="-6"/>
              </w:rPr>
              <w:t>的学校食堂视频，以“点对平台”方式接入</w:t>
            </w:r>
            <w:r>
              <w:rPr>
                <w:spacing w:val="-7"/>
              </w:rPr>
              <w:t>省级平台。</w:t>
            </w:r>
          </w:p>
          <w:p>
            <w:pPr>
              <w:pStyle w:val="6"/>
              <w:spacing w:before="48" w:line="220" w:lineRule="auto"/>
              <w:ind w:left="104" w:firstLine="129"/>
            </w:pPr>
            <w:r>
              <w:rPr>
                <w:spacing w:val="-3"/>
              </w:rPr>
              <w:t>(3)推动全区各级各类学校食堂、校外供餐单位在食材库房、烹饪间</w:t>
            </w:r>
            <w:r>
              <w:rPr>
                <w:spacing w:val="-4"/>
              </w:rPr>
              <w:t>、专</w:t>
            </w:r>
            <w:r>
              <w:t xml:space="preserve"> </w:t>
            </w:r>
            <w:r>
              <w:rPr>
                <w:spacing w:val="-9"/>
              </w:rPr>
              <w:t>间专区、餐饮具清洗消毒、分餐间、留样设施等场所加装</w:t>
            </w:r>
            <w:r>
              <w:rPr>
                <w:spacing w:val="-10"/>
              </w:rPr>
              <w:t>摄像头，实现学校</w:t>
            </w:r>
            <w:r>
              <w:t xml:space="preserve"> </w:t>
            </w:r>
            <w:r>
              <w:rPr>
                <w:spacing w:val="-1"/>
              </w:rPr>
              <w:t>食堂“看得见的放心消费”。</w:t>
            </w:r>
          </w:p>
        </w:tc>
        <w:tc>
          <w:tcPr>
            <w:tcW w:w="1084" w:type="dxa"/>
            <w:vAlign w:val="top"/>
          </w:tcPr>
          <w:p>
            <w:pPr>
              <w:rPr>
                <w:rFonts w:ascii="Arial"/>
                <w:sz w:val="21"/>
              </w:rPr>
            </w:pPr>
          </w:p>
        </w:tc>
      </w:tr>
    </w:tbl>
    <w:p>
      <w:pPr>
        <w:pStyle w:val="2"/>
      </w:pPr>
    </w:p>
    <w:p>
      <w:pPr>
        <w:sectPr>
          <w:footerReference r:id="rId13" w:type="default"/>
          <w:pgSz w:w="16830" w:h="11900"/>
          <w:pgMar w:top="1011" w:right="2034" w:bottom="1286" w:left="1855" w:header="0" w:footer="972" w:gutter="0"/>
          <w:cols w:space="720" w:num="1"/>
        </w:sectPr>
      </w:pPr>
    </w:p>
    <w:p>
      <w:pPr>
        <w:pStyle w:val="2"/>
        <w:spacing w:line="441" w:lineRule="auto"/>
      </w:pPr>
    </w:p>
    <w:p>
      <w:pPr>
        <w:spacing w:before="136" w:line="208" w:lineRule="auto"/>
        <w:ind w:left="1810"/>
        <w:rPr>
          <w:rFonts w:ascii="宋体" w:hAnsi="宋体" w:eastAsia="宋体" w:cs="宋体"/>
          <w:sz w:val="42"/>
          <w:szCs w:val="42"/>
        </w:rPr>
      </w:pPr>
      <w:r>
        <w:rPr>
          <w:rFonts w:ascii="宋体" w:hAnsi="宋体" w:eastAsia="宋体" w:cs="宋体"/>
          <w:b/>
          <w:bCs/>
          <w:spacing w:val="-4"/>
          <w:sz w:val="42"/>
          <w:szCs w:val="42"/>
        </w:rPr>
        <w:t>六安市叶集区2026年区级6项重点民生</w:t>
      </w:r>
      <w:r>
        <w:rPr>
          <w:rFonts w:ascii="宋体" w:hAnsi="宋体" w:eastAsia="宋体" w:cs="宋体"/>
          <w:b/>
          <w:bCs/>
          <w:spacing w:val="-5"/>
          <w:sz w:val="42"/>
          <w:szCs w:val="42"/>
        </w:rPr>
        <w:t>实事项目清单</w:t>
      </w:r>
    </w:p>
    <w:tbl>
      <w:tblPr>
        <w:tblStyle w:val="5"/>
        <w:tblW w:w="12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179"/>
        <w:gridCol w:w="1279"/>
        <w:gridCol w:w="2768"/>
        <w:gridCol w:w="5106"/>
        <w:gridCol w:w="19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674" w:type="dxa"/>
            <w:vAlign w:val="top"/>
          </w:tcPr>
          <w:p>
            <w:pPr>
              <w:pStyle w:val="6"/>
              <w:spacing w:before="235" w:line="221" w:lineRule="auto"/>
              <w:ind w:left="105"/>
            </w:pPr>
            <w:r>
              <w:rPr>
                <w:spacing w:val="6"/>
              </w:rPr>
              <w:t>序号</w:t>
            </w:r>
          </w:p>
        </w:tc>
        <w:tc>
          <w:tcPr>
            <w:tcW w:w="1179" w:type="dxa"/>
            <w:vAlign w:val="top"/>
          </w:tcPr>
          <w:p>
            <w:pPr>
              <w:pStyle w:val="6"/>
              <w:spacing w:before="232" w:line="219" w:lineRule="auto"/>
              <w:ind w:left="140"/>
            </w:pPr>
            <w:r>
              <w:rPr>
                <w:spacing w:val="-2"/>
              </w:rPr>
              <w:t>牵头单位</w:t>
            </w:r>
          </w:p>
        </w:tc>
        <w:tc>
          <w:tcPr>
            <w:tcW w:w="1279" w:type="dxa"/>
            <w:vAlign w:val="top"/>
          </w:tcPr>
          <w:p>
            <w:pPr>
              <w:pStyle w:val="6"/>
              <w:spacing w:before="234" w:line="220" w:lineRule="auto"/>
              <w:ind w:left="192"/>
            </w:pPr>
            <w:r>
              <w:rPr>
                <w:spacing w:val="2"/>
              </w:rPr>
              <w:t>项目名称</w:t>
            </w:r>
          </w:p>
        </w:tc>
        <w:tc>
          <w:tcPr>
            <w:tcW w:w="2768" w:type="dxa"/>
            <w:vAlign w:val="top"/>
          </w:tcPr>
          <w:p>
            <w:pPr>
              <w:pStyle w:val="6"/>
              <w:spacing w:before="234" w:line="219" w:lineRule="auto"/>
              <w:ind w:left="783"/>
            </w:pPr>
            <w:r>
              <w:rPr>
                <w:spacing w:val="-15"/>
              </w:rPr>
              <w:t>实</w:t>
            </w:r>
            <w:r>
              <w:rPr>
                <w:spacing w:val="8"/>
              </w:rPr>
              <w:t xml:space="preserve"> </w:t>
            </w:r>
            <w:r>
              <w:rPr>
                <w:spacing w:val="-15"/>
              </w:rPr>
              <w:t>施</w:t>
            </w:r>
            <w:r>
              <w:rPr>
                <w:spacing w:val="33"/>
              </w:rPr>
              <w:t xml:space="preserve"> </w:t>
            </w:r>
            <w:r>
              <w:rPr>
                <w:spacing w:val="-15"/>
              </w:rPr>
              <w:t>内</w:t>
            </w:r>
            <w:r>
              <w:rPr>
                <w:spacing w:val="10"/>
              </w:rPr>
              <w:t xml:space="preserve"> </w:t>
            </w:r>
            <w:r>
              <w:rPr>
                <w:spacing w:val="-15"/>
              </w:rPr>
              <w:t>容</w:t>
            </w:r>
          </w:p>
        </w:tc>
        <w:tc>
          <w:tcPr>
            <w:tcW w:w="5106" w:type="dxa"/>
            <w:vAlign w:val="top"/>
          </w:tcPr>
          <w:p>
            <w:pPr>
              <w:pStyle w:val="6"/>
              <w:spacing w:before="234" w:line="220" w:lineRule="auto"/>
              <w:ind w:left="1775"/>
            </w:pPr>
            <w:r>
              <w:rPr>
                <w:spacing w:val="-6"/>
              </w:rPr>
              <w:t>推</w:t>
            </w:r>
            <w:r>
              <w:rPr>
                <w:spacing w:val="3"/>
              </w:rPr>
              <w:t xml:space="preserve">  </w:t>
            </w:r>
            <w:r>
              <w:rPr>
                <w:spacing w:val="-6"/>
              </w:rPr>
              <w:t>进</w:t>
            </w:r>
            <w:r>
              <w:rPr>
                <w:spacing w:val="4"/>
              </w:rPr>
              <w:t xml:space="preserve">  </w:t>
            </w:r>
            <w:r>
              <w:rPr>
                <w:spacing w:val="-6"/>
              </w:rPr>
              <w:t>措</w:t>
            </w:r>
            <w:r>
              <w:rPr>
                <w:spacing w:val="4"/>
              </w:rPr>
              <w:t xml:space="preserve">  </w:t>
            </w:r>
            <w:r>
              <w:rPr>
                <w:spacing w:val="-6"/>
              </w:rPr>
              <w:t>施</w:t>
            </w:r>
          </w:p>
        </w:tc>
        <w:tc>
          <w:tcPr>
            <w:tcW w:w="1903" w:type="dxa"/>
            <w:vAlign w:val="top"/>
          </w:tcPr>
          <w:p>
            <w:pPr>
              <w:pStyle w:val="6"/>
              <w:spacing w:before="235" w:line="221" w:lineRule="auto"/>
              <w:ind w:left="728"/>
            </w:pPr>
            <w:r>
              <w:rPr>
                <w:spacing w:val="5"/>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6" w:hRule="atLeast"/>
        </w:trPr>
        <w:tc>
          <w:tcPr>
            <w:tcW w:w="674"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pStyle w:val="6"/>
              <w:spacing w:before="72" w:line="241" w:lineRule="auto"/>
              <w:ind w:left="275"/>
            </w:pPr>
            <w:r>
              <w:t>1</w:t>
            </w:r>
          </w:p>
        </w:tc>
        <w:tc>
          <w:tcPr>
            <w:tcW w:w="117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6"/>
              <w:spacing w:before="71" w:line="221" w:lineRule="auto"/>
              <w:ind w:left="140"/>
            </w:pPr>
            <w:r>
              <w:rPr>
                <w:spacing w:val="2"/>
              </w:rPr>
              <w:t>区卫健委</w:t>
            </w:r>
          </w:p>
        </w:tc>
        <w:tc>
          <w:tcPr>
            <w:tcW w:w="127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pStyle w:val="6"/>
              <w:spacing w:before="71" w:line="245" w:lineRule="auto"/>
              <w:ind w:left="81" w:right="73"/>
              <w:jc w:val="both"/>
            </w:pPr>
            <w:r>
              <w:rPr>
                <w:spacing w:val="2"/>
              </w:rPr>
              <w:t xml:space="preserve">实施区域医 </w:t>
            </w:r>
            <w:r>
              <w:rPr>
                <w:spacing w:val="-2"/>
              </w:rPr>
              <w:t>疗能力提升</w:t>
            </w:r>
            <w:r>
              <w:rPr>
                <w:spacing w:val="1"/>
              </w:rPr>
              <w:t xml:space="preserve"> </w:t>
            </w:r>
            <w:r>
              <w:rPr>
                <w:spacing w:val="7"/>
              </w:rPr>
              <w:t>行动</w:t>
            </w:r>
          </w:p>
        </w:tc>
        <w:tc>
          <w:tcPr>
            <w:tcW w:w="2768" w:type="dxa"/>
            <w:vAlign w:val="top"/>
          </w:tcPr>
          <w:p>
            <w:pPr>
              <w:pStyle w:val="6"/>
              <w:spacing w:before="80" w:line="259" w:lineRule="auto"/>
              <w:ind w:left="13" w:firstLine="38"/>
              <w:jc w:val="both"/>
            </w:pPr>
            <w:r>
              <w:rPr>
                <w:spacing w:val="-8"/>
              </w:rPr>
              <w:t>实施区人民医院能力提升行</w:t>
            </w:r>
            <w:r>
              <w:t xml:space="preserve">  </w:t>
            </w:r>
            <w:r>
              <w:rPr>
                <w:spacing w:val="-5"/>
              </w:rPr>
              <w:t>动，聚焦区域外转率较高的</w:t>
            </w:r>
            <w:r>
              <w:rPr>
                <w:spacing w:val="3"/>
              </w:rPr>
              <w:t xml:space="preserve">  </w:t>
            </w:r>
            <w:r>
              <w:rPr>
                <w:spacing w:val="-9"/>
              </w:rPr>
              <w:t>心脑血管疾病、肿瘤等病种，</w:t>
            </w:r>
            <w:r>
              <w:t xml:space="preserve"> </w:t>
            </w:r>
            <w:r>
              <w:rPr>
                <w:spacing w:val="-9"/>
              </w:rPr>
              <w:t>建强胃肠外科、心血管内科、</w:t>
            </w:r>
            <w:r>
              <w:t xml:space="preserve"> 神经内科等3个临床重点专</w:t>
            </w:r>
            <w:r>
              <w:rPr>
                <w:spacing w:val="1"/>
              </w:rPr>
              <w:t xml:space="preserve">   </w:t>
            </w:r>
            <w:r>
              <w:rPr>
                <w:spacing w:val="-7"/>
              </w:rPr>
              <w:t>科；推广多学科协作诊疗模</w:t>
            </w:r>
            <w:r>
              <w:rPr>
                <w:spacing w:val="3"/>
              </w:rPr>
              <w:t xml:space="preserve">  </w:t>
            </w:r>
            <w:r>
              <w:rPr>
                <w:spacing w:val="-5"/>
              </w:rPr>
              <w:t>式，带动麻醉疼痛、神经外</w:t>
            </w:r>
            <w:r>
              <w:rPr>
                <w:spacing w:val="2"/>
              </w:rPr>
              <w:t xml:space="preserve">  </w:t>
            </w:r>
            <w:r>
              <w:rPr>
                <w:spacing w:val="-5"/>
              </w:rPr>
              <w:t>科等薄弱专科能力提升；深</w:t>
            </w:r>
            <w:r>
              <w:rPr>
                <w:spacing w:val="1"/>
              </w:rPr>
              <w:t xml:space="preserve">  </w:t>
            </w:r>
            <w:r>
              <w:rPr>
                <w:spacing w:val="-7"/>
              </w:rPr>
              <w:t>化与长三角、省内、市内三</w:t>
            </w:r>
            <w:r>
              <w:rPr>
                <w:spacing w:val="3"/>
              </w:rPr>
              <w:t xml:space="preserve">  </w:t>
            </w:r>
            <w:r>
              <w:rPr>
                <w:spacing w:val="-5"/>
              </w:rPr>
              <w:t>甲医院对口合作，设立专家</w:t>
            </w:r>
            <w:r>
              <w:rPr>
                <w:spacing w:val="1"/>
              </w:rPr>
              <w:t xml:space="preserve">  </w:t>
            </w:r>
            <w:r>
              <w:rPr>
                <w:spacing w:val="5"/>
              </w:rPr>
              <w:t>工作站(室)。</w:t>
            </w:r>
          </w:p>
        </w:tc>
        <w:tc>
          <w:tcPr>
            <w:tcW w:w="5106" w:type="dxa"/>
            <w:vAlign w:val="top"/>
          </w:tcPr>
          <w:p>
            <w:pPr>
              <w:pStyle w:val="6"/>
              <w:spacing w:before="78" w:line="267" w:lineRule="auto"/>
              <w:ind w:left="114" w:right="171" w:firstLine="70"/>
            </w:pPr>
            <w:r>
              <w:t>(1)依托医联体单位(安徽省立医院)、合作共建单</w:t>
            </w:r>
            <w:r>
              <w:rPr>
                <w:spacing w:val="8"/>
              </w:rPr>
              <w:t xml:space="preserve"> </w:t>
            </w:r>
            <w:r>
              <w:t>位(六安市人民医院),院校合作单位(皖西卫生职</w:t>
            </w:r>
          </w:p>
          <w:p>
            <w:pPr>
              <w:pStyle w:val="6"/>
              <w:spacing w:before="3" w:line="263" w:lineRule="auto"/>
              <w:ind w:left="75"/>
            </w:pPr>
            <w:r>
              <w:rPr>
                <w:spacing w:val="-2"/>
              </w:rPr>
              <w:t>业学院)等资源，通过专家下沉帮扶、选派人员进修</w:t>
            </w:r>
            <w:r>
              <w:t xml:space="preserve">  </w:t>
            </w:r>
            <w:r>
              <w:rPr>
                <w:spacing w:val="-2"/>
              </w:rPr>
              <w:t>和科研教学等方式，加强区人民医院重点专科建设，</w:t>
            </w:r>
            <w:r>
              <w:rPr>
                <w:spacing w:val="5"/>
              </w:rPr>
              <w:t xml:space="preserve"> </w:t>
            </w:r>
            <w:r>
              <w:rPr>
                <w:spacing w:val="4"/>
              </w:rPr>
              <w:t>逐步降低区域外转率。</w:t>
            </w:r>
          </w:p>
          <w:p>
            <w:pPr>
              <w:pStyle w:val="6"/>
              <w:spacing w:before="2" w:line="270" w:lineRule="auto"/>
              <w:ind w:left="14" w:firstLine="209"/>
              <w:jc w:val="both"/>
            </w:pPr>
            <w:r>
              <w:rPr>
                <w:spacing w:val="-4"/>
              </w:rPr>
              <w:t>(2)做实会诊转诊服务中心，加强外转患者多学科会</w:t>
            </w:r>
            <w:r>
              <w:rPr>
                <w:spacing w:val="16"/>
              </w:rPr>
              <w:t xml:space="preserve"> </w:t>
            </w:r>
            <w:r>
              <w:t>诊，巩固提升危重孕产妇救治中心、危重新生儿救治</w:t>
            </w:r>
            <w:r>
              <w:rPr>
                <w:spacing w:val="9"/>
              </w:rPr>
              <w:t xml:space="preserve"> </w:t>
            </w:r>
            <w:r>
              <w:t>中心和卒中中心能力，全面启动胸痛中心、创伤中心</w:t>
            </w:r>
            <w:r>
              <w:rPr>
                <w:spacing w:val="5"/>
              </w:rPr>
              <w:t xml:space="preserve"> </w:t>
            </w:r>
            <w:r>
              <w:rPr>
                <w:spacing w:val="6"/>
              </w:rPr>
              <w:t>建设，逐步提升薄弱专科能力。</w:t>
            </w:r>
          </w:p>
          <w:p>
            <w:pPr>
              <w:pStyle w:val="6"/>
              <w:spacing w:line="221" w:lineRule="auto"/>
              <w:ind w:left="104" w:firstLine="109"/>
            </w:pPr>
            <w:r>
              <w:rPr>
                <w:spacing w:val="-3"/>
              </w:rPr>
              <w:t>(3)进一步深化与长三角、省市三甲医院合作，2026</w:t>
            </w:r>
            <w:r>
              <w:rPr>
                <w:spacing w:val="8"/>
              </w:rPr>
              <w:t xml:space="preserve"> </w:t>
            </w:r>
            <w:r>
              <w:rPr>
                <w:spacing w:val="-1"/>
              </w:rPr>
              <w:t>年再设立2-3个名医专家工作站(室)。</w:t>
            </w:r>
          </w:p>
        </w:tc>
        <w:tc>
          <w:tcPr>
            <w:tcW w:w="1903" w:type="dxa"/>
            <w:vAlign w:val="top"/>
          </w:tcPr>
          <w:p>
            <w:pPr>
              <w:spacing w:line="477" w:lineRule="auto"/>
              <w:rPr>
                <w:rFonts w:ascii="Arial"/>
                <w:sz w:val="21"/>
              </w:rPr>
            </w:pPr>
          </w:p>
          <w:p>
            <w:pPr>
              <w:pStyle w:val="6"/>
              <w:spacing w:before="72" w:line="269" w:lineRule="auto"/>
              <w:ind w:left="68" w:right="49"/>
            </w:pPr>
            <w:r>
              <w:rPr>
                <w:spacing w:val="-2"/>
              </w:rPr>
              <w:t>根据《六安市叶集</w:t>
            </w:r>
            <w:r>
              <w:rPr>
                <w:spacing w:val="6"/>
              </w:rPr>
              <w:t xml:space="preserve"> </w:t>
            </w:r>
            <w:r>
              <w:rPr>
                <w:spacing w:val="1"/>
              </w:rPr>
              <w:t>区城乡一体化紧密</w:t>
            </w:r>
            <w:r>
              <w:rPr>
                <w:spacing w:val="4"/>
              </w:rPr>
              <w:t xml:space="preserve"> </w:t>
            </w:r>
            <w:r>
              <w:rPr>
                <w:spacing w:val="1"/>
              </w:rPr>
              <w:t>型医共体建设工作</w:t>
            </w:r>
            <w:r>
              <w:rPr>
                <w:spacing w:val="5"/>
              </w:rPr>
              <w:t xml:space="preserve"> </w:t>
            </w:r>
            <w:r>
              <w:rPr>
                <w:spacing w:val="-16"/>
              </w:rPr>
              <w:t>方</w:t>
            </w:r>
            <w:r>
              <w:rPr>
                <w:spacing w:val="-48"/>
              </w:rPr>
              <w:t xml:space="preserve"> </w:t>
            </w:r>
            <w:r>
              <w:rPr>
                <w:spacing w:val="-16"/>
              </w:rPr>
              <w:t>案</w:t>
            </w:r>
            <w:r>
              <w:rPr>
                <w:spacing w:val="-38"/>
              </w:rPr>
              <w:t xml:space="preserve"> </w:t>
            </w:r>
            <w:r>
              <w:rPr>
                <w:spacing w:val="-16"/>
              </w:rPr>
              <w:t>》 (</w:t>
            </w:r>
            <w:r>
              <w:rPr>
                <w:spacing w:val="-36"/>
              </w:rPr>
              <w:t xml:space="preserve"> </w:t>
            </w:r>
            <w:r>
              <w:rPr>
                <w:spacing w:val="-16"/>
              </w:rPr>
              <w:t>叶</w:t>
            </w:r>
            <w:r>
              <w:rPr>
                <w:spacing w:val="-45"/>
              </w:rPr>
              <w:t xml:space="preserve"> </w:t>
            </w:r>
            <w:r>
              <w:rPr>
                <w:spacing w:val="-16"/>
              </w:rPr>
              <w:t>办</w:t>
            </w:r>
            <w:r>
              <w:rPr>
                <w:spacing w:val="-47"/>
              </w:rPr>
              <w:t xml:space="preserve"> </w:t>
            </w:r>
            <w:r>
              <w:rPr>
                <w:spacing w:val="-16"/>
              </w:rPr>
              <w:t>发</w:t>
            </w:r>
            <w:r>
              <w:t xml:space="preserve"> </w:t>
            </w:r>
            <w:r>
              <w:rPr>
                <w:spacing w:val="11"/>
              </w:rPr>
              <w:t>〔2025〕8号〕,</w:t>
            </w:r>
            <w:r>
              <w:t xml:space="preserve">  </w:t>
            </w:r>
            <w:r>
              <w:rPr>
                <w:spacing w:val="1"/>
              </w:rPr>
              <w:t xml:space="preserve">区级每年安排卫生 </w:t>
            </w:r>
            <w:r>
              <w:rPr>
                <w:spacing w:val="4"/>
              </w:rPr>
              <w:t xml:space="preserve">事业发展资金300 </w:t>
            </w:r>
            <w:r>
              <w:rPr>
                <w:spacing w:val="16"/>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0" w:hRule="atLeast"/>
        </w:trPr>
        <w:tc>
          <w:tcPr>
            <w:tcW w:w="674"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6"/>
              <w:spacing w:before="72" w:line="241" w:lineRule="auto"/>
              <w:ind w:left="275"/>
            </w:pPr>
            <w:r>
              <w:t>2</w:t>
            </w:r>
          </w:p>
        </w:tc>
        <w:tc>
          <w:tcPr>
            <w:tcW w:w="117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71" w:line="219" w:lineRule="auto"/>
              <w:ind w:left="140"/>
            </w:pPr>
            <w:r>
              <w:rPr>
                <w:spacing w:val="4"/>
              </w:rPr>
              <w:t>区城管局</w:t>
            </w:r>
          </w:p>
        </w:tc>
        <w:tc>
          <w:tcPr>
            <w:tcW w:w="1279" w:type="dxa"/>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6"/>
              <w:spacing w:before="71" w:line="278" w:lineRule="auto"/>
              <w:ind w:left="101" w:right="95" w:hanging="20"/>
            </w:pPr>
            <w:r>
              <w:rPr>
                <w:spacing w:val="-2"/>
              </w:rPr>
              <w:t>加强小区物</w:t>
            </w:r>
            <w:r>
              <w:t xml:space="preserve"> </w:t>
            </w:r>
            <w:r>
              <w:rPr>
                <w:spacing w:val="-2"/>
              </w:rPr>
              <w:t>业管理</w:t>
            </w:r>
          </w:p>
        </w:tc>
        <w:tc>
          <w:tcPr>
            <w:tcW w:w="2768" w:type="dxa"/>
            <w:vAlign w:val="top"/>
          </w:tcPr>
          <w:p>
            <w:pPr>
              <w:spacing w:line="249" w:lineRule="auto"/>
              <w:rPr>
                <w:rFonts w:ascii="Arial"/>
                <w:sz w:val="21"/>
              </w:rPr>
            </w:pPr>
          </w:p>
          <w:p>
            <w:pPr>
              <w:spacing w:line="250" w:lineRule="auto"/>
              <w:rPr>
                <w:rFonts w:ascii="Arial"/>
                <w:sz w:val="21"/>
              </w:rPr>
            </w:pPr>
          </w:p>
          <w:p>
            <w:pPr>
              <w:pStyle w:val="6"/>
              <w:spacing w:before="71" w:line="269" w:lineRule="auto"/>
              <w:ind w:left="13" w:firstLine="38"/>
              <w:jc w:val="both"/>
            </w:pPr>
            <w:r>
              <w:rPr>
                <w:spacing w:val="-10"/>
              </w:rPr>
              <w:t>加强小区物业管理，筛选有</w:t>
            </w:r>
            <w:r>
              <w:rPr>
                <w:spacing w:val="2"/>
              </w:rPr>
              <w:t xml:space="preserve">  </w:t>
            </w:r>
            <w:r>
              <w:rPr>
                <w:spacing w:val="-5"/>
              </w:rPr>
              <w:t>实力、懂管理、服务优的物</w:t>
            </w:r>
            <w:r>
              <w:rPr>
                <w:spacing w:val="1"/>
              </w:rPr>
              <w:t xml:space="preserve">  </w:t>
            </w:r>
            <w:r>
              <w:rPr>
                <w:spacing w:val="-1"/>
              </w:rPr>
              <w:t>业管理企业进驻居民小区，</w:t>
            </w:r>
            <w:r>
              <w:rPr>
                <w:spacing w:val="2"/>
              </w:rPr>
              <w:t xml:space="preserve">  </w:t>
            </w:r>
            <w:r>
              <w:rPr>
                <w:spacing w:val="-5"/>
              </w:rPr>
              <w:t>提升小区物业管理水平。同</w:t>
            </w:r>
            <w:r>
              <w:rPr>
                <w:spacing w:val="5"/>
              </w:rPr>
              <w:t xml:space="preserve">  </w:t>
            </w:r>
            <w:r>
              <w:rPr>
                <w:spacing w:val="-5"/>
              </w:rPr>
              <w:t>时，借鉴周边县区做法，发</w:t>
            </w:r>
            <w:r>
              <w:t xml:space="preserve">  </w:t>
            </w:r>
            <w:r>
              <w:rPr>
                <w:spacing w:val="-7"/>
              </w:rPr>
              <w:t>挥社区、区直单位、企业包</w:t>
            </w:r>
            <w:r>
              <w:rPr>
                <w:spacing w:val="3"/>
              </w:rPr>
              <w:t xml:space="preserve">  </w:t>
            </w:r>
            <w:r>
              <w:rPr>
                <w:spacing w:val="-5"/>
              </w:rPr>
              <w:t>保小区作用，共同让小区环</w:t>
            </w:r>
            <w:r>
              <w:rPr>
                <w:spacing w:val="1"/>
              </w:rPr>
              <w:t xml:space="preserve">  </w:t>
            </w:r>
            <w:r>
              <w:rPr>
                <w:spacing w:val="-9"/>
              </w:rPr>
              <w:t>境靓起来，邻里关系暖起来，</w:t>
            </w:r>
            <w:r>
              <w:t xml:space="preserve"> </w:t>
            </w:r>
            <w:r>
              <w:rPr>
                <w:spacing w:val="-1"/>
              </w:rPr>
              <w:t>把群众有感的事情管起来。</w:t>
            </w:r>
          </w:p>
        </w:tc>
        <w:tc>
          <w:tcPr>
            <w:tcW w:w="5106" w:type="dxa"/>
            <w:vAlign w:val="top"/>
          </w:tcPr>
          <w:p>
            <w:pPr>
              <w:pStyle w:val="6"/>
              <w:spacing w:before="114" w:line="219" w:lineRule="auto"/>
              <w:jc w:val="right"/>
            </w:pPr>
            <w:r>
              <w:rPr>
                <w:spacing w:val="-4"/>
              </w:rPr>
              <w:t>(1)发挥党建引领作用，以小区党支部为</w:t>
            </w:r>
            <w:r>
              <w:rPr>
                <w:spacing w:val="-5"/>
              </w:rPr>
              <w:t>核心，把社</w:t>
            </w:r>
          </w:p>
          <w:p>
            <w:pPr>
              <w:pStyle w:val="6"/>
              <w:spacing w:before="36" w:line="269" w:lineRule="auto"/>
              <w:ind w:left="14" w:firstLine="119"/>
            </w:pPr>
            <w:r>
              <w:rPr>
                <w:spacing w:val="-5"/>
              </w:rPr>
              <w:t>区党员、区直联系单位党员凝聚起来，入户走访、开</w:t>
            </w:r>
            <w:r>
              <w:rPr>
                <w:spacing w:val="15"/>
              </w:rPr>
              <w:t xml:space="preserve"> </w:t>
            </w:r>
            <w:r>
              <w:t>展志愿服务，形成“党建引领、多方参与、共建共治</w:t>
            </w:r>
            <w:r>
              <w:rPr>
                <w:spacing w:val="9"/>
              </w:rPr>
              <w:t xml:space="preserve"> </w:t>
            </w:r>
            <w:r>
              <w:rPr>
                <w:spacing w:val="7"/>
              </w:rPr>
              <w:t>共享”的物业管理格局。</w:t>
            </w:r>
          </w:p>
          <w:p>
            <w:pPr>
              <w:pStyle w:val="6"/>
              <w:spacing w:before="1" w:line="247" w:lineRule="auto"/>
              <w:ind w:left="125" w:firstLine="99"/>
            </w:pPr>
            <w:r>
              <w:rPr>
                <w:spacing w:val="-4"/>
              </w:rPr>
              <w:t>(2)强化物业督查考核，优胜劣汰，严格把关物业选</w:t>
            </w:r>
            <w:r>
              <w:rPr>
                <w:spacing w:val="16"/>
              </w:rPr>
              <w:t xml:space="preserve"> </w:t>
            </w:r>
            <w:r>
              <w:rPr>
                <w:spacing w:val="-1"/>
              </w:rPr>
              <w:t>聘关口，细化服务事项，督促履约尽职。</w:t>
            </w:r>
          </w:p>
          <w:p>
            <w:pPr>
              <w:pStyle w:val="6"/>
              <w:spacing w:before="28" w:line="253" w:lineRule="auto"/>
              <w:ind w:left="14" w:right="21" w:firstLine="110"/>
            </w:pPr>
            <w:r>
              <w:t>(3)推进小区综合执法，常态化开展小区督查巡</w:t>
            </w:r>
            <w:r>
              <w:rPr>
                <w:spacing w:val="-1"/>
              </w:rPr>
              <w:t>查，</w:t>
            </w:r>
            <w:r>
              <w:t xml:space="preserve"> </w:t>
            </w:r>
            <w:r>
              <w:rPr>
                <w:spacing w:val="-1"/>
              </w:rPr>
              <w:t>联合住建、市场监管等部门及时查处小区违法违规事</w:t>
            </w:r>
            <w:r>
              <w:rPr>
                <w:spacing w:val="12"/>
              </w:rPr>
              <w:t xml:space="preserve"> </w:t>
            </w:r>
            <w:r>
              <w:rPr>
                <w:spacing w:val="39"/>
              </w:rPr>
              <w:t>项。</w:t>
            </w:r>
          </w:p>
          <w:p>
            <w:pPr>
              <w:pStyle w:val="6"/>
              <w:spacing w:before="55"/>
              <w:ind w:left="14" w:right="21" w:firstLine="110"/>
            </w:pPr>
            <w:r>
              <w:t>(4)推进阳光透明监管，督促业主委员会规范履</w:t>
            </w:r>
            <w:r>
              <w:rPr>
                <w:spacing w:val="-1"/>
              </w:rPr>
              <w:t>职，</w:t>
            </w:r>
            <w:r>
              <w:t xml:space="preserve"> </w:t>
            </w:r>
            <w:r>
              <w:rPr>
                <w:spacing w:val="-1"/>
              </w:rPr>
              <w:t>监督物业及时公开小区公共收益、服务内容、收费标</w:t>
            </w:r>
            <w:r>
              <w:rPr>
                <w:spacing w:val="12"/>
              </w:rPr>
              <w:t xml:space="preserve"> </w:t>
            </w:r>
            <w:r>
              <w:rPr>
                <w:spacing w:val="17"/>
              </w:rPr>
              <w:t>准等信息。</w:t>
            </w:r>
          </w:p>
        </w:tc>
        <w:tc>
          <w:tcPr>
            <w:tcW w:w="1903" w:type="dxa"/>
            <w:vAlign w:val="top"/>
          </w:tcPr>
          <w:p>
            <w:pPr>
              <w:rPr>
                <w:rFonts w:ascii="Arial"/>
                <w:sz w:val="21"/>
              </w:rPr>
            </w:pPr>
          </w:p>
        </w:tc>
      </w:tr>
    </w:tbl>
    <w:p>
      <w:pPr>
        <w:pStyle w:val="2"/>
      </w:pPr>
    </w:p>
    <w:p>
      <w:pPr>
        <w:sectPr>
          <w:footerReference r:id="rId14" w:type="default"/>
          <w:pgSz w:w="16830" w:h="11900"/>
          <w:pgMar w:top="1011" w:right="2095" w:bottom="1413" w:left="1814" w:header="0" w:footer="1073" w:gutter="0"/>
          <w:cols w:space="720" w:num="1"/>
        </w:sectPr>
      </w:pPr>
    </w:p>
    <w:p>
      <w:pPr>
        <w:spacing w:before="30"/>
      </w:pPr>
    </w:p>
    <w:p>
      <w:pPr>
        <w:spacing w:before="30"/>
      </w:pPr>
    </w:p>
    <w:tbl>
      <w:tblPr>
        <w:tblStyle w:val="5"/>
        <w:tblW w:w="12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189"/>
        <w:gridCol w:w="1279"/>
        <w:gridCol w:w="2768"/>
        <w:gridCol w:w="5116"/>
        <w:gridCol w:w="19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74" w:type="dxa"/>
            <w:vAlign w:val="top"/>
          </w:tcPr>
          <w:p>
            <w:pPr>
              <w:pStyle w:val="6"/>
              <w:spacing w:before="245" w:line="221" w:lineRule="auto"/>
              <w:ind w:left="105"/>
            </w:pPr>
            <w:r>
              <w:rPr>
                <w:spacing w:val="6"/>
              </w:rPr>
              <w:t>序号</w:t>
            </w:r>
          </w:p>
        </w:tc>
        <w:tc>
          <w:tcPr>
            <w:tcW w:w="1189" w:type="dxa"/>
            <w:vAlign w:val="top"/>
          </w:tcPr>
          <w:p>
            <w:pPr>
              <w:pStyle w:val="6"/>
              <w:spacing w:before="242" w:line="219" w:lineRule="auto"/>
              <w:ind w:left="140"/>
            </w:pPr>
            <w:r>
              <w:rPr>
                <w:spacing w:val="-2"/>
              </w:rPr>
              <w:t>牵头单位</w:t>
            </w:r>
          </w:p>
        </w:tc>
        <w:tc>
          <w:tcPr>
            <w:tcW w:w="1279" w:type="dxa"/>
            <w:vAlign w:val="top"/>
          </w:tcPr>
          <w:p>
            <w:pPr>
              <w:pStyle w:val="6"/>
              <w:spacing w:before="244" w:line="220" w:lineRule="auto"/>
              <w:ind w:left="191"/>
            </w:pPr>
            <w:r>
              <w:rPr>
                <w:spacing w:val="2"/>
              </w:rPr>
              <w:t>项目名称</w:t>
            </w:r>
          </w:p>
        </w:tc>
        <w:tc>
          <w:tcPr>
            <w:tcW w:w="2768" w:type="dxa"/>
            <w:vAlign w:val="top"/>
          </w:tcPr>
          <w:p>
            <w:pPr>
              <w:pStyle w:val="6"/>
              <w:spacing w:before="244" w:line="219" w:lineRule="auto"/>
              <w:ind w:left="793"/>
            </w:pPr>
            <w:r>
              <w:rPr>
                <w:spacing w:val="-12"/>
              </w:rPr>
              <w:t>实 施</w:t>
            </w:r>
            <w:r>
              <w:rPr>
                <w:spacing w:val="28"/>
              </w:rPr>
              <w:t xml:space="preserve"> </w:t>
            </w:r>
            <w:r>
              <w:rPr>
                <w:spacing w:val="-12"/>
              </w:rPr>
              <w:t>内</w:t>
            </w:r>
            <w:r>
              <w:rPr>
                <w:spacing w:val="3"/>
              </w:rPr>
              <w:t xml:space="preserve"> </w:t>
            </w:r>
            <w:r>
              <w:rPr>
                <w:spacing w:val="-12"/>
              </w:rPr>
              <w:t>容</w:t>
            </w:r>
          </w:p>
        </w:tc>
        <w:tc>
          <w:tcPr>
            <w:tcW w:w="5116" w:type="dxa"/>
            <w:vAlign w:val="top"/>
          </w:tcPr>
          <w:p>
            <w:pPr>
              <w:pStyle w:val="6"/>
              <w:spacing w:before="244" w:line="220" w:lineRule="auto"/>
              <w:ind w:left="1674"/>
            </w:pPr>
            <w:r>
              <w:rPr>
                <w:spacing w:val="-6"/>
              </w:rPr>
              <w:t>推</w:t>
            </w:r>
            <w:r>
              <w:rPr>
                <w:spacing w:val="3"/>
              </w:rPr>
              <w:t xml:space="preserve">  </w:t>
            </w:r>
            <w:r>
              <w:rPr>
                <w:spacing w:val="-6"/>
              </w:rPr>
              <w:t>进</w:t>
            </w:r>
            <w:r>
              <w:rPr>
                <w:spacing w:val="4"/>
              </w:rPr>
              <w:t xml:space="preserve">  </w:t>
            </w:r>
            <w:r>
              <w:rPr>
                <w:spacing w:val="-6"/>
              </w:rPr>
              <w:t>措</w:t>
            </w:r>
            <w:r>
              <w:rPr>
                <w:spacing w:val="4"/>
              </w:rPr>
              <w:t xml:space="preserve">  </w:t>
            </w:r>
            <w:r>
              <w:rPr>
                <w:spacing w:val="-6"/>
              </w:rPr>
              <w:t>施</w:t>
            </w:r>
          </w:p>
        </w:tc>
        <w:tc>
          <w:tcPr>
            <w:tcW w:w="1903" w:type="dxa"/>
            <w:vAlign w:val="top"/>
          </w:tcPr>
          <w:p>
            <w:pPr>
              <w:pStyle w:val="6"/>
              <w:spacing w:before="242" w:line="221" w:lineRule="auto"/>
              <w:ind w:left="692"/>
            </w:pPr>
            <w:r>
              <w:rPr>
                <w:b/>
                <w:bCs/>
                <w:spacing w:val="-8"/>
              </w:rPr>
              <w:t>备</w:t>
            </w:r>
            <w:r>
              <w:rPr>
                <w:spacing w:val="34"/>
              </w:rPr>
              <w:t xml:space="preserve"> </w:t>
            </w:r>
            <w:r>
              <w:rPr>
                <w:b/>
                <w:bCs/>
                <w:spacing w:val="-8"/>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7" w:hRule="atLeast"/>
        </w:trPr>
        <w:tc>
          <w:tcPr>
            <w:tcW w:w="674"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6"/>
              <w:spacing w:before="72"/>
              <w:ind w:left="275"/>
            </w:pPr>
            <w:r>
              <w:t>3</w:t>
            </w:r>
          </w:p>
        </w:tc>
        <w:tc>
          <w:tcPr>
            <w:tcW w:w="1189" w:type="dxa"/>
            <w:vAlign w:val="top"/>
          </w:tcPr>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6"/>
              <w:spacing w:before="72" w:line="245" w:lineRule="auto"/>
              <w:ind w:left="135" w:hanging="104"/>
            </w:pPr>
            <w:r>
              <w:rPr>
                <w:spacing w:val="9"/>
              </w:rPr>
              <w:t>区教育局、</w:t>
            </w:r>
            <w:r>
              <w:rPr>
                <w:spacing w:val="1"/>
              </w:rPr>
              <w:t xml:space="preserve"> </w:t>
            </w:r>
            <w:r>
              <w:rPr>
                <w:spacing w:val="-7"/>
              </w:rPr>
              <w:t>区总工会</w:t>
            </w:r>
          </w:p>
        </w:tc>
        <w:tc>
          <w:tcPr>
            <w:tcW w:w="1279" w:type="dxa"/>
            <w:vAlign w:val="top"/>
          </w:tcPr>
          <w:p>
            <w:pPr>
              <w:spacing w:line="280" w:lineRule="auto"/>
              <w:rPr>
                <w:rFonts w:ascii="Arial"/>
                <w:sz w:val="21"/>
              </w:rPr>
            </w:pPr>
          </w:p>
          <w:p>
            <w:pPr>
              <w:spacing w:line="281" w:lineRule="auto"/>
              <w:rPr>
                <w:rFonts w:ascii="Arial"/>
                <w:sz w:val="21"/>
              </w:rPr>
            </w:pPr>
          </w:p>
          <w:p>
            <w:pPr>
              <w:spacing w:line="281" w:lineRule="auto"/>
              <w:rPr>
                <w:rFonts w:ascii="Arial"/>
                <w:sz w:val="21"/>
              </w:rPr>
            </w:pPr>
          </w:p>
          <w:p>
            <w:pPr>
              <w:pStyle w:val="6"/>
              <w:spacing w:before="71" w:line="246" w:lineRule="auto"/>
              <w:ind w:left="91" w:right="78" w:hanging="9"/>
            </w:pPr>
            <w:r>
              <w:rPr>
                <w:spacing w:val="1"/>
              </w:rPr>
              <w:t>学生暑假托</w:t>
            </w:r>
            <w:r>
              <w:rPr>
                <w:spacing w:val="2"/>
              </w:rPr>
              <w:t xml:space="preserve"> </w:t>
            </w:r>
            <w:r>
              <w:t>管</w:t>
            </w:r>
          </w:p>
        </w:tc>
        <w:tc>
          <w:tcPr>
            <w:tcW w:w="2768" w:type="dxa"/>
            <w:vAlign w:val="top"/>
          </w:tcPr>
          <w:p>
            <w:pPr>
              <w:spacing w:line="277" w:lineRule="auto"/>
              <w:rPr>
                <w:rFonts w:ascii="Arial"/>
                <w:sz w:val="21"/>
              </w:rPr>
            </w:pPr>
          </w:p>
          <w:p>
            <w:pPr>
              <w:pStyle w:val="6"/>
              <w:spacing w:before="71" w:line="239" w:lineRule="auto"/>
              <w:ind w:left="53" w:right="51"/>
              <w:jc w:val="both"/>
            </w:pPr>
            <w:r>
              <w:rPr>
                <w:spacing w:val="-1"/>
              </w:rPr>
              <w:t>开展幼儿园及义务教育阶段</w:t>
            </w:r>
            <w:r>
              <w:rPr>
                <w:spacing w:val="1"/>
              </w:rPr>
              <w:t xml:space="preserve"> 学生假期托管，在主城区公</w:t>
            </w:r>
            <w:r>
              <w:t xml:space="preserve"> </w:t>
            </w:r>
            <w:r>
              <w:rPr>
                <w:spacing w:val="-1"/>
              </w:rPr>
              <w:t>立学校和幼儿园开展暑假托</w:t>
            </w:r>
            <w:r>
              <w:rPr>
                <w:spacing w:val="2"/>
              </w:rPr>
              <w:t xml:space="preserve"> </w:t>
            </w:r>
            <w:r>
              <w:t>管，帮助双职工家庭解决假</w:t>
            </w:r>
          </w:p>
          <w:p>
            <w:pPr>
              <w:pStyle w:val="6"/>
              <w:spacing w:before="2" w:line="231" w:lineRule="auto"/>
              <w:ind w:left="83" w:right="149" w:firstLine="79"/>
            </w:pPr>
            <w:r>
              <w:rPr>
                <w:spacing w:val="2"/>
              </w:rPr>
              <w:t xml:space="preserve">期幼儿和低龄学生看护问 </w:t>
            </w:r>
            <w:r>
              <w:t>题。</w:t>
            </w:r>
          </w:p>
        </w:tc>
        <w:tc>
          <w:tcPr>
            <w:tcW w:w="5116" w:type="dxa"/>
            <w:vAlign w:val="top"/>
          </w:tcPr>
          <w:p>
            <w:pPr>
              <w:pStyle w:val="6"/>
              <w:spacing w:before="50" w:line="239" w:lineRule="auto"/>
              <w:ind w:left="115" w:right="133" w:firstLine="110"/>
            </w:pPr>
            <w:r>
              <w:t>(1)遵循“学生自愿、公益普惠、安全第一”的原</w:t>
            </w:r>
            <w:r>
              <w:rPr>
                <w:spacing w:val="16"/>
              </w:rPr>
              <w:t xml:space="preserve"> </w:t>
            </w:r>
            <w:r>
              <w:rPr>
                <w:spacing w:val="-1"/>
              </w:rPr>
              <w:t>则，为有需求的学生提供托管服务。</w:t>
            </w:r>
          </w:p>
          <w:p>
            <w:pPr>
              <w:pStyle w:val="6"/>
              <w:spacing w:before="30" w:line="233" w:lineRule="auto"/>
              <w:ind w:left="115" w:firstLine="107"/>
            </w:pPr>
            <w:r>
              <w:rPr>
                <w:spacing w:val="-12"/>
              </w:rPr>
              <w:t>(2)在主城区公立学校、幼儿园开设职工子女托管班，</w:t>
            </w:r>
            <w:r>
              <w:rPr>
                <w:spacing w:val="12"/>
              </w:rPr>
              <w:t xml:space="preserve"> </w:t>
            </w:r>
            <w:r>
              <w:rPr>
                <w:spacing w:val="-7"/>
              </w:rPr>
              <w:t>计划接收不少于220名学生，重点服务辖</w:t>
            </w:r>
            <w:r>
              <w:rPr>
                <w:spacing w:val="-8"/>
              </w:rPr>
              <w:t>区职工家庭，</w:t>
            </w:r>
            <w:r>
              <w:t xml:space="preserve"> </w:t>
            </w:r>
            <w:r>
              <w:rPr>
                <w:spacing w:val="-8"/>
              </w:rPr>
              <w:t>聚焦新就业形态劳动者群体，切实解决双职工家庭假</w:t>
            </w:r>
            <w:r>
              <w:rPr>
                <w:spacing w:val="1"/>
              </w:rPr>
              <w:t xml:space="preserve">  </w:t>
            </w:r>
            <w:r>
              <w:rPr>
                <w:spacing w:val="-4"/>
              </w:rPr>
              <w:t>期3-12岁的学生看护难题。</w:t>
            </w:r>
          </w:p>
          <w:p>
            <w:pPr>
              <w:pStyle w:val="6"/>
              <w:spacing w:before="56" w:line="201" w:lineRule="auto"/>
              <w:ind w:left="115" w:firstLine="117"/>
            </w:pPr>
            <w:r>
              <w:rPr>
                <w:spacing w:val="-12"/>
              </w:rPr>
              <w:t>(3)以看护为主，组织学生完成暑假作业、自主阅读、</w:t>
            </w:r>
            <w:r>
              <w:rPr>
                <w:spacing w:val="2"/>
              </w:rPr>
              <w:t xml:space="preserve"> </w:t>
            </w:r>
            <w:r>
              <w:rPr>
                <w:spacing w:val="-5"/>
              </w:rPr>
              <w:t>开展观影活动等，不进行学科培训、不讲授新课。</w:t>
            </w:r>
          </w:p>
        </w:tc>
        <w:tc>
          <w:tcPr>
            <w:tcW w:w="190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7" w:hRule="atLeast"/>
        </w:trPr>
        <w:tc>
          <w:tcPr>
            <w:tcW w:w="674" w:type="dxa"/>
            <w:vAlign w:val="top"/>
          </w:tcPr>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pStyle w:val="6"/>
              <w:spacing w:before="72" w:line="241" w:lineRule="auto"/>
              <w:ind w:left="275"/>
            </w:pPr>
            <w:r>
              <w:t>4</w:t>
            </w:r>
          </w:p>
        </w:tc>
        <w:tc>
          <w:tcPr>
            <w:tcW w:w="1189" w:type="dxa"/>
            <w:vAlign w:val="top"/>
          </w:tcPr>
          <w:p>
            <w:pPr>
              <w:spacing w:line="280" w:lineRule="auto"/>
              <w:rPr>
                <w:rFonts w:ascii="Arial"/>
                <w:sz w:val="21"/>
              </w:rPr>
            </w:pPr>
          </w:p>
          <w:p>
            <w:pPr>
              <w:spacing w:line="280"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pStyle w:val="6"/>
              <w:spacing w:before="71" w:line="219" w:lineRule="auto"/>
              <w:ind w:left="140"/>
            </w:pPr>
            <w:r>
              <w:rPr>
                <w:spacing w:val="4"/>
              </w:rPr>
              <w:t>区商务局</w:t>
            </w:r>
          </w:p>
        </w:tc>
        <w:tc>
          <w:tcPr>
            <w:tcW w:w="127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6"/>
              <w:spacing w:before="71" w:line="220" w:lineRule="auto"/>
              <w:ind w:left="82"/>
            </w:pPr>
            <w:r>
              <w:rPr>
                <w:spacing w:val="2"/>
              </w:rPr>
              <w:t>开展“电商</w:t>
            </w:r>
          </w:p>
          <w:p>
            <w:pPr>
              <w:pStyle w:val="6"/>
              <w:spacing w:before="47" w:line="220" w:lineRule="auto"/>
              <w:ind w:left="82"/>
            </w:pPr>
            <w:r>
              <w:rPr>
                <w:spacing w:val="3"/>
              </w:rPr>
              <w:t>助农”行动</w:t>
            </w:r>
          </w:p>
        </w:tc>
        <w:tc>
          <w:tcPr>
            <w:tcW w:w="2768" w:type="dxa"/>
            <w:vAlign w:val="top"/>
          </w:tcPr>
          <w:p>
            <w:pPr>
              <w:spacing w:line="358" w:lineRule="auto"/>
              <w:rPr>
                <w:rFonts w:ascii="Arial"/>
                <w:sz w:val="21"/>
              </w:rPr>
            </w:pPr>
          </w:p>
          <w:p>
            <w:pPr>
              <w:spacing w:line="359" w:lineRule="auto"/>
              <w:rPr>
                <w:rFonts w:ascii="Arial"/>
                <w:sz w:val="21"/>
              </w:rPr>
            </w:pPr>
          </w:p>
          <w:p>
            <w:pPr>
              <w:pStyle w:val="6"/>
              <w:spacing w:before="71" w:line="244" w:lineRule="auto"/>
              <w:ind w:left="53"/>
              <w:jc w:val="both"/>
            </w:pPr>
            <w:r>
              <w:rPr>
                <w:spacing w:val="-2"/>
              </w:rPr>
              <w:t>依托直播电商模式，集中推</w:t>
            </w:r>
            <w:r>
              <w:rPr>
                <w:spacing w:val="7"/>
              </w:rPr>
              <w:t xml:space="preserve"> </w:t>
            </w:r>
            <w:r>
              <w:rPr>
                <w:spacing w:val="1"/>
              </w:rPr>
              <w:t>广叶集特色农产品及本土品</w:t>
            </w:r>
            <w:r>
              <w:rPr>
                <w:spacing w:val="4"/>
              </w:rPr>
              <w:t xml:space="preserve"> </w:t>
            </w:r>
            <w:r>
              <w:rPr>
                <w:spacing w:val="-12"/>
              </w:rPr>
              <w:t>牌，拓宽销售渠道，提升“叶</w:t>
            </w:r>
            <w:r>
              <w:t xml:space="preserve"> </w:t>
            </w:r>
            <w:r>
              <w:rPr>
                <w:spacing w:val="1"/>
              </w:rPr>
              <w:t>集好物”区域公共品牌知名</w:t>
            </w:r>
            <w:r>
              <w:rPr>
                <w:spacing w:val="9"/>
              </w:rPr>
              <w:t xml:space="preserve"> </w:t>
            </w:r>
            <w:r>
              <w:rPr>
                <w:spacing w:val="-2"/>
              </w:rPr>
              <w:t>度和市场竞争力，带动特色</w:t>
            </w:r>
            <w:r>
              <w:rPr>
                <w:spacing w:val="9"/>
              </w:rPr>
              <w:t xml:space="preserve"> </w:t>
            </w:r>
            <w:r>
              <w:rPr>
                <w:spacing w:val="8"/>
              </w:rPr>
              <w:t>产品上行增效。</w:t>
            </w:r>
          </w:p>
        </w:tc>
        <w:tc>
          <w:tcPr>
            <w:tcW w:w="5116" w:type="dxa"/>
            <w:vAlign w:val="top"/>
          </w:tcPr>
          <w:p>
            <w:pPr>
              <w:pStyle w:val="6"/>
              <w:spacing w:before="82" w:line="224" w:lineRule="auto"/>
              <w:ind w:left="124" w:firstLine="109"/>
            </w:pPr>
            <w:r>
              <w:rPr>
                <w:spacing w:val="-4"/>
              </w:rPr>
              <w:t>(1)开展电商培训，培育专业人才队伍，筑牢电商产</w:t>
            </w:r>
            <w:r>
              <w:rPr>
                <w:spacing w:val="16"/>
              </w:rPr>
              <w:t xml:space="preserve"> </w:t>
            </w:r>
            <w:r>
              <w:rPr>
                <w:spacing w:val="-2"/>
              </w:rPr>
              <w:t>业发展基础。</w:t>
            </w:r>
          </w:p>
          <w:p>
            <w:pPr>
              <w:pStyle w:val="6"/>
              <w:spacing w:before="35" w:line="236" w:lineRule="auto"/>
              <w:ind w:left="115" w:firstLine="119"/>
            </w:pPr>
            <w:r>
              <w:rPr>
                <w:spacing w:val="-4"/>
              </w:rPr>
              <w:t>(2)常态化摸排叶集农特产品，强化“叶集好物”资</w:t>
            </w:r>
            <w:r>
              <w:rPr>
                <w:spacing w:val="16"/>
              </w:rPr>
              <w:t xml:space="preserve"> </w:t>
            </w:r>
            <w:r>
              <w:rPr>
                <w:spacing w:val="-2"/>
              </w:rPr>
              <w:t>源库，提升品牌知名度，增强市场竞争力。</w:t>
            </w:r>
          </w:p>
          <w:p>
            <w:pPr>
              <w:pStyle w:val="6"/>
              <w:spacing w:before="19" w:line="238" w:lineRule="auto"/>
              <w:ind w:left="115" w:firstLine="119"/>
            </w:pPr>
            <w:r>
              <w:rPr>
                <w:spacing w:val="-16"/>
              </w:rPr>
              <w:t>(3)动员</w:t>
            </w:r>
            <w:r>
              <w:rPr>
                <w:spacing w:val="-15"/>
              </w:rPr>
              <w:t>企业参加全国网上年货节</w:t>
            </w:r>
            <w:r>
              <w:rPr>
                <w:spacing w:val="-3"/>
              </w:rPr>
              <w:t>等活动，鼓励电商企业利用节假</w:t>
            </w:r>
            <w:r>
              <w:rPr>
                <w:spacing w:val="-4"/>
              </w:rPr>
              <w:t>日等</w:t>
            </w:r>
            <w:r>
              <w:t xml:space="preserve"> 重要节日加大农产品直播力度。</w:t>
            </w:r>
          </w:p>
          <w:p>
            <w:pPr>
              <w:pStyle w:val="6"/>
              <w:spacing w:before="9" w:line="223" w:lineRule="auto"/>
              <w:ind w:left="115" w:firstLine="119"/>
            </w:pPr>
            <w:r>
              <w:rPr>
                <w:spacing w:val="-4"/>
              </w:rPr>
              <w:t>(4)围绕区内主打特色农产品开展直播推介活动，指</w:t>
            </w:r>
            <w:r>
              <w:rPr>
                <w:spacing w:val="16"/>
              </w:rPr>
              <w:t xml:space="preserve"> </w:t>
            </w:r>
            <w:r>
              <w:rPr>
                <w:spacing w:val="-4"/>
              </w:rPr>
              <w:t>导各乡镇街利用和美乡村直播间常态化做好农产品直</w:t>
            </w:r>
            <w:r>
              <w:t xml:space="preserve"> </w:t>
            </w:r>
            <w:r>
              <w:rPr>
                <w:spacing w:val="-4"/>
              </w:rPr>
              <w:t>播推</w:t>
            </w:r>
            <w:bookmarkStart w:id="1" w:name="_GoBack"/>
            <w:bookmarkEnd w:id="1"/>
            <w:r>
              <w:rPr>
                <w:spacing w:val="-4"/>
              </w:rPr>
              <w:t>介及直播带货工作。动员区内电商人才积极</w:t>
            </w:r>
            <w:r>
              <w:rPr>
                <w:spacing w:val="-5"/>
              </w:rPr>
              <w:t>拍摄</w:t>
            </w:r>
            <w:r>
              <w:t xml:space="preserve"> </w:t>
            </w:r>
            <w:r>
              <w:rPr>
                <w:spacing w:val="-2"/>
              </w:rPr>
              <w:t>农产品宣传短视频、开展直播带货。</w:t>
            </w:r>
          </w:p>
        </w:tc>
        <w:tc>
          <w:tcPr>
            <w:tcW w:w="190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2" w:hRule="atLeast"/>
        </w:trPr>
        <w:tc>
          <w:tcPr>
            <w:tcW w:w="674"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6"/>
              <w:spacing w:before="72"/>
              <w:ind w:left="275"/>
            </w:pPr>
            <w:r>
              <w:t>5</w:t>
            </w:r>
          </w:p>
        </w:tc>
        <w:tc>
          <w:tcPr>
            <w:tcW w:w="1189" w:type="dxa"/>
            <w:vAlign w:val="top"/>
          </w:tcPr>
          <w:p>
            <w:pPr>
              <w:spacing w:line="296" w:lineRule="auto"/>
              <w:rPr>
                <w:rFonts w:ascii="Arial"/>
                <w:sz w:val="21"/>
              </w:rPr>
            </w:pPr>
          </w:p>
          <w:p>
            <w:pPr>
              <w:spacing w:line="296" w:lineRule="auto"/>
              <w:rPr>
                <w:rFonts w:ascii="Arial"/>
                <w:sz w:val="21"/>
              </w:rPr>
            </w:pPr>
          </w:p>
          <w:p>
            <w:pPr>
              <w:spacing w:line="297" w:lineRule="auto"/>
              <w:rPr>
                <w:rFonts w:ascii="Arial"/>
                <w:sz w:val="21"/>
              </w:rPr>
            </w:pPr>
          </w:p>
          <w:p>
            <w:pPr>
              <w:pStyle w:val="6"/>
              <w:spacing w:before="71" w:line="219" w:lineRule="auto"/>
              <w:ind w:left="140"/>
            </w:pPr>
            <w:r>
              <w:rPr>
                <w:spacing w:val="4"/>
              </w:rPr>
              <w:t>市公安局</w:t>
            </w:r>
          </w:p>
          <w:p>
            <w:pPr>
              <w:pStyle w:val="6"/>
              <w:spacing w:before="49" w:line="219" w:lineRule="auto"/>
              <w:ind w:left="140"/>
            </w:pPr>
            <w:r>
              <w:rPr>
                <w:spacing w:val="4"/>
              </w:rPr>
              <w:t>叶集分局</w:t>
            </w:r>
          </w:p>
        </w:tc>
        <w:tc>
          <w:tcPr>
            <w:tcW w:w="1279" w:type="dxa"/>
            <w:vAlign w:val="top"/>
          </w:tcPr>
          <w:p>
            <w:pPr>
              <w:spacing w:line="296" w:lineRule="auto"/>
              <w:rPr>
                <w:rFonts w:ascii="Arial"/>
                <w:sz w:val="21"/>
              </w:rPr>
            </w:pPr>
          </w:p>
          <w:p>
            <w:pPr>
              <w:spacing w:line="296" w:lineRule="auto"/>
              <w:rPr>
                <w:rFonts w:ascii="Arial"/>
                <w:sz w:val="21"/>
              </w:rPr>
            </w:pPr>
          </w:p>
          <w:p>
            <w:pPr>
              <w:spacing w:line="297" w:lineRule="auto"/>
              <w:rPr>
                <w:rFonts w:ascii="Arial"/>
                <w:sz w:val="21"/>
              </w:rPr>
            </w:pPr>
          </w:p>
          <w:p>
            <w:pPr>
              <w:pStyle w:val="6"/>
              <w:spacing w:before="71" w:line="262" w:lineRule="auto"/>
              <w:ind w:left="82" w:right="95"/>
            </w:pPr>
            <w:r>
              <w:rPr>
                <w:spacing w:val="-2"/>
              </w:rPr>
              <w:t>城区智慧交</w:t>
            </w:r>
            <w:r>
              <w:t xml:space="preserve"> </w:t>
            </w:r>
            <w:r>
              <w:rPr>
                <w:spacing w:val="-2"/>
              </w:rPr>
              <w:t>通服务</w:t>
            </w:r>
          </w:p>
        </w:tc>
        <w:tc>
          <w:tcPr>
            <w:tcW w:w="2768" w:type="dxa"/>
            <w:vAlign w:val="top"/>
          </w:tcPr>
          <w:p>
            <w:pPr>
              <w:pStyle w:val="6"/>
              <w:spacing w:before="92" w:line="236" w:lineRule="auto"/>
              <w:ind w:left="53" w:right="5"/>
              <w:jc w:val="both"/>
            </w:pPr>
            <w:r>
              <w:rPr>
                <w:spacing w:val="1"/>
              </w:rPr>
              <w:t>升级改造城区路口交通信号</w:t>
            </w:r>
            <w:r>
              <w:t xml:space="preserve"> </w:t>
            </w:r>
            <w:r>
              <w:rPr>
                <w:spacing w:val="1"/>
              </w:rPr>
              <w:t>灯设备，实施自动调节信号</w:t>
            </w:r>
            <w:r>
              <w:t xml:space="preserve"> </w:t>
            </w:r>
            <w:r>
              <w:rPr>
                <w:spacing w:val="-1"/>
              </w:rPr>
              <w:t>灯放行时长，减少绿灯空放</w:t>
            </w:r>
            <w:r>
              <w:rPr>
                <w:spacing w:val="1"/>
              </w:rPr>
              <w:t xml:space="preserve"> </w:t>
            </w:r>
            <w:r>
              <w:rPr>
                <w:spacing w:val="4"/>
              </w:rPr>
              <w:t>时间，打造城区绿波通行，</w:t>
            </w:r>
            <w:r>
              <w:rPr>
                <w:spacing w:val="10"/>
              </w:rPr>
              <w:t xml:space="preserve"> </w:t>
            </w:r>
            <w:r>
              <w:rPr>
                <w:spacing w:val="-1"/>
              </w:rPr>
              <w:t>提升道路通行效率，有效解</w:t>
            </w:r>
            <w:r>
              <w:rPr>
                <w:spacing w:val="1"/>
              </w:rPr>
              <w:t xml:space="preserve"> 决平峰空放、高峰拥堵、延</w:t>
            </w:r>
            <w:r>
              <w:t xml:space="preserve"> 误及停车多次等问题，方便</w:t>
            </w:r>
            <w:r>
              <w:rPr>
                <w:spacing w:val="9"/>
              </w:rPr>
              <w:t xml:space="preserve"> </w:t>
            </w:r>
            <w:r>
              <w:rPr>
                <w:spacing w:val="7"/>
              </w:rPr>
              <w:t>群众出行。</w:t>
            </w:r>
          </w:p>
        </w:tc>
        <w:tc>
          <w:tcPr>
            <w:tcW w:w="5116" w:type="dxa"/>
            <w:vAlign w:val="top"/>
          </w:tcPr>
          <w:p>
            <w:pPr>
              <w:pStyle w:val="6"/>
              <w:spacing w:before="234" w:line="232" w:lineRule="auto"/>
              <w:ind w:left="115" w:firstLine="119"/>
            </w:pPr>
            <w:r>
              <w:rPr>
                <w:spacing w:val="-4"/>
              </w:rPr>
              <w:t>(1)第一阶段完成项目可行性研究、方案设计、招投</w:t>
            </w:r>
            <w:r>
              <w:rPr>
                <w:spacing w:val="16"/>
              </w:rPr>
              <w:t xml:space="preserve"> </w:t>
            </w:r>
            <w:r>
              <w:rPr>
                <w:spacing w:val="-1"/>
              </w:rPr>
              <w:t>标等前期工作。</w:t>
            </w:r>
          </w:p>
          <w:p>
            <w:pPr>
              <w:pStyle w:val="6"/>
              <w:spacing w:before="27" w:line="236" w:lineRule="auto"/>
              <w:ind w:left="124" w:firstLine="99"/>
            </w:pPr>
            <w:r>
              <w:rPr>
                <w:spacing w:val="-3"/>
              </w:rPr>
              <w:t>(2)第二阶段开展设备采购、安装调试工作，完成城</w:t>
            </w:r>
            <w:r>
              <w:rPr>
                <w:spacing w:val="2"/>
              </w:rPr>
              <w:t xml:space="preserve"> </w:t>
            </w:r>
            <w:r>
              <w:rPr>
                <w:spacing w:val="-1"/>
              </w:rPr>
              <w:t>区主要路口的智慧交通信号控制系统建设。</w:t>
            </w:r>
          </w:p>
          <w:p>
            <w:pPr>
              <w:pStyle w:val="6"/>
              <w:spacing w:before="28" w:line="241" w:lineRule="auto"/>
              <w:ind w:left="105" w:firstLine="109"/>
            </w:pPr>
            <w:r>
              <w:rPr>
                <w:spacing w:val="-3"/>
              </w:rPr>
              <w:t>(3)第三阶段进行系统联调联试和优化完善，确保系</w:t>
            </w:r>
            <w:r>
              <w:rPr>
                <w:spacing w:val="12"/>
              </w:rPr>
              <w:t xml:space="preserve"> </w:t>
            </w:r>
            <w:r>
              <w:rPr>
                <w:spacing w:val="-3"/>
              </w:rPr>
              <w:t>统正常运行。同时组织对相关人员进行培训，使其熟</w:t>
            </w:r>
            <w:r>
              <w:rPr>
                <w:spacing w:val="8"/>
              </w:rPr>
              <w:t xml:space="preserve"> </w:t>
            </w:r>
            <w:r>
              <w:rPr>
                <w:spacing w:val="-1"/>
              </w:rPr>
              <w:t>练掌握系统的操作和管理。</w:t>
            </w:r>
          </w:p>
        </w:tc>
        <w:tc>
          <w:tcPr>
            <w:tcW w:w="1903" w:type="dxa"/>
            <w:vAlign w:val="top"/>
          </w:tcPr>
          <w:p>
            <w:pPr>
              <w:rPr>
                <w:rFonts w:ascii="Arial"/>
                <w:sz w:val="21"/>
              </w:rPr>
            </w:pPr>
          </w:p>
        </w:tc>
      </w:tr>
    </w:tbl>
    <w:p>
      <w:pPr>
        <w:pStyle w:val="2"/>
      </w:pPr>
    </w:p>
    <w:p>
      <w:pPr>
        <w:sectPr>
          <w:footerReference r:id="rId15" w:type="default"/>
          <w:pgSz w:w="16830" w:h="11900"/>
          <w:pgMar w:top="1011" w:right="2025" w:bottom="1301" w:left="1864" w:header="0" w:footer="951" w:gutter="0"/>
          <w:cols w:space="720" w:num="1"/>
        </w:sectPr>
      </w:pPr>
    </w:p>
    <w:p/>
    <w:p/>
    <w:tbl>
      <w:tblPr>
        <w:tblStyle w:val="5"/>
        <w:tblW w:w="12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1189"/>
        <w:gridCol w:w="1269"/>
        <w:gridCol w:w="2768"/>
        <w:gridCol w:w="5116"/>
        <w:gridCol w:w="19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675" w:type="dxa"/>
            <w:vAlign w:val="top"/>
          </w:tcPr>
          <w:p>
            <w:pPr>
              <w:pStyle w:val="6"/>
              <w:spacing w:before="235" w:line="221" w:lineRule="auto"/>
              <w:ind w:left="105"/>
            </w:pPr>
            <w:r>
              <w:rPr>
                <w:spacing w:val="6"/>
              </w:rPr>
              <w:t>序号</w:t>
            </w:r>
          </w:p>
        </w:tc>
        <w:tc>
          <w:tcPr>
            <w:tcW w:w="1189" w:type="dxa"/>
            <w:vAlign w:val="top"/>
          </w:tcPr>
          <w:p>
            <w:pPr>
              <w:pStyle w:val="6"/>
              <w:spacing w:before="232" w:line="219" w:lineRule="auto"/>
              <w:ind w:left="90"/>
            </w:pPr>
            <w:r>
              <w:rPr>
                <w:spacing w:val="-2"/>
              </w:rPr>
              <w:t>牵头单位</w:t>
            </w:r>
          </w:p>
        </w:tc>
        <w:tc>
          <w:tcPr>
            <w:tcW w:w="1269" w:type="dxa"/>
            <w:vAlign w:val="top"/>
          </w:tcPr>
          <w:p>
            <w:pPr>
              <w:pStyle w:val="6"/>
              <w:spacing w:before="234" w:line="220" w:lineRule="auto"/>
              <w:ind w:left="181"/>
            </w:pPr>
            <w:r>
              <w:rPr>
                <w:spacing w:val="2"/>
              </w:rPr>
              <w:t>项目名称</w:t>
            </w:r>
          </w:p>
        </w:tc>
        <w:tc>
          <w:tcPr>
            <w:tcW w:w="2768" w:type="dxa"/>
            <w:vAlign w:val="top"/>
          </w:tcPr>
          <w:p>
            <w:pPr>
              <w:pStyle w:val="6"/>
              <w:spacing w:before="234" w:line="219" w:lineRule="auto"/>
              <w:ind w:left="792"/>
            </w:pPr>
            <w:r>
              <w:rPr>
                <w:spacing w:val="-12"/>
              </w:rPr>
              <w:t>实 施</w:t>
            </w:r>
            <w:r>
              <w:rPr>
                <w:spacing w:val="28"/>
              </w:rPr>
              <w:t xml:space="preserve"> </w:t>
            </w:r>
            <w:r>
              <w:rPr>
                <w:spacing w:val="-12"/>
              </w:rPr>
              <w:t>内</w:t>
            </w:r>
            <w:r>
              <w:rPr>
                <w:spacing w:val="3"/>
              </w:rPr>
              <w:t xml:space="preserve"> </w:t>
            </w:r>
            <w:r>
              <w:rPr>
                <w:spacing w:val="-12"/>
              </w:rPr>
              <w:t>容</w:t>
            </w:r>
          </w:p>
        </w:tc>
        <w:tc>
          <w:tcPr>
            <w:tcW w:w="5116" w:type="dxa"/>
            <w:vAlign w:val="top"/>
          </w:tcPr>
          <w:p>
            <w:pPr>
              <w:pStyle w:val="6"/>
              <w:spacing w:before="234" w:line="220" w:lineRule="auto"/>
              <w:ind w:left="1784"/>
            </w:pPr>
            <w:r>
              <w:rPr>
                <w:spacing w:val="-6"/>
              </w:rPr>
              <w:t>推</w:t>
            </w:r>
            <w:r>
              <w:rPr>
                <w:spacing w:val="3"/>
              </w:rPr>
              <w:t xml:space="preserve">  </w:t>
            </w:r>
            <w:r>
              <w:rPr>
                <w:spacing w:val="-6"/>
              </w:rPr>
              <w:t>进</w:t>
            </w:r>
            <w:r>
              <w:rPr>
                <w:spacing w:val="4"/>
              </w:rPr>
              <w:t xml:space="preserve">  </w:t>
            </w:r>
            <w:r>
              <w:rPr>
                <w:spacing w:val="-6"/>
              </w:rPr>
              <w:t>措</w:t>
            </w:r>
            <w:r>
              <w:rPr>
                <w:spacing w:val="4"/>
              </w:rPr>
              <w:t xml:space="preserve">  </w:t>
            </w:r>
            <w:r>
              <w:rPr>
                <w:spacing w:val="-6"/>
              </w:rPr>
              <w:t>施</w:t>
            </w:r>
          </w:p>
        </w:tc>
        <w:tc>
          <w:tcPr>
            <w:tcW w:w="1903" w:type="dxa"/>
            <w:vAlign w:val="top"/>
          </w:tcPr>
          <w:p>
            <w:pPr>
              <w:pStyle w:val="6"/>
              <w:spacing w:before="232" w:line="221" w:lineRule="auto"/>
              <w:ind w:left="691"/>
            </w:pPr>
            <w:r>
              <w:rPr>
                <w:b/>
                <w:bCs/>
                <w:spacing w:val="-8"/>
              </w:rPr>
              <w:t>备</w:t>
            </w:r>
            <w:r>
              <w:rPr>
                <w:spacing w:val="34"/>
              </w:rPr>
              <w:t xml:space="preserve"> </w:t>
            </w:r>
            <w:r>
              <w:rPr>
                <w:b/>
                <w:bCs/>
                <w:spacing w:val="-8"/>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6" w:hRule="atLeast"/>
        </w:trPr>
        <w:tc>
          <w:tcPr>
            <w:tcW w:w="675"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71"/>
              <w:ind w:left="275"/>
            </w:pPr>
            <w:r>
              <w:t>6</w:t>
            </w:r>
          </w:p>
        </w:tc>
        <w:tc>
          <w:tcPr>
            <w:tcW w:w="118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6"/>
              <w:spacing w:before="71" w:line="219" w:lineRule="auto"/>
              <w:ind w:left="90"/>
            </w:pPr>
            <w:r>
              <w:rPr>
                <w:spacing w:val="4"/>
              </w:rPr>
              <w:t>区人社局</w:t>
            </w:r>
          </w:p>
        </w:tc>
        <w:tc>
          <w:tcPr>
            <w:tcW w:w="1269"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6"/>
              <w:spacing w:before="71" w:line="219" w:lineRule="auto"/>
              <w:ind w:left="70"/>
            </w:pPr>
            <w:r>
              <w:rPr>
                <w:spacing w:val="2"/>
              </w:rPr>
              <w:t>实施促进重</w:t>
            </w:r>
          </w:p>
          <w:p>
            <w:pPr>
              <w:pStyle w:val="6"/>
              <w:spacing w:before="49" w:line="247" w:lineRule="auto"/>
              <w:ind w:left="70" w:right="80"/>
            </w:pPr>
            <w:r>
              <w:rPr>
                <w:spacing w:val="1"/>
              </w:rPr>
              <w:t xml:space="preserve">点人群就业 </w:t>
            </w:r>
            <w:r>
              <w:rPr>
                <w:spacing w:val="7"/>
              </w:rPr>
              <w:t>行动</w:t>
            </w:r>
          </w:p>
        </w:tc>
        <w:tc>
          <w:tcPr>
            <w:tcW w:w="2768" w:type="dxa"/>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6"/>
              <w:spacing w:before="72" w:line="251" w:lineRule="auto"/>
              <w:ind w:left="52" w:firstLine="109"/>
            </w:pPr>
            <w:r>
              <w:t>实施促进重点人群就业行</w:t>
            </w:r>
            <w:r>
              <w:rPr>
                <w:spacing w:val="3"/>
              </w:rPr>
              <w:t xml:space="preserve">  </w:t>
            </w:r>
            <w:r>
              <w:t>动，对符合条件的毕业生按</w:t>
            </w:r>
            <w:r>
              <w:rPr>
                <w:spacing w:val="7"/>
              </w:rPr>
              <w:t xml:space="preserve"> </w:t>
            </w:r>
            <w:r>
              <w:rPr>
                <w:spacing w:val="4"/>
              </w:rPr>
              <w:t xml:space="preserve">照1500元/人的标准集中发  </w:t>
            </w:r>
            <w:r>
              <w:rPr>
                <w:spacing w:val="-2"/>
              </w:rPr>
              <w:t>放一次性求职补贴；每月收</w:t>
            </w:r>
            <w:r>
              <w:rPr>
                <w:spacing w:val="10"/>
              </w:rPr>
              <w:t xml:space="preserve"> </w:t>
            </w:r>
            <w:r>
              <w:rPr>
                <w:spacing w:val="-2"/>
              </w:rPr>
              <w:t>集发布招聘信息，常态化举</w:t>
            </w:r>
            <w:r>
              <w:rPr>
                <w:spacing w:val="10"/>
              </w:rPr>
              <w:t xml:space="preserve"> </w:t>
            </w:r>
            <w:r>
              <w:t>办线上线下招聘活动，深化</w:t>
            </w:r>
            <w:r>
              <w:rPr>
                <w:spacing w:val="4"/>
              </w:rPr>
              <w:t xml:space="preserve"> </w:t>
            </w:r>
            <w:r>
              <w:rPr>
                <w:spacing w:val="5"/>
              </w:rPr>
              <w:t>“三公里”就业圈建设，促</w:t>
            </w:r>
            <w:r>
              <w:rPr>
                <w:spacing w:val="4"/>
              </w:rPr>
              <w:t xml:space="preserve"> </w:t>
            </w:r>
            <w:r>
              <w:rPr>
                <w:spacing w:val="6"/>
              </w:rPr>
              <w:t>进劳动者就业。</w:t>
            </w:r>
          </w:p>
        </w:tc>
        <w:tc>
          <w:tcPr>
            <w:tcW w:w="5116" w:type="dxa"/>
            <w:vAlign w:val="top"/>
          </w:tcPr>
          <w:p>
            <w:pPr>
              <w:pStyle w:val="6"/>
              <w:spacing w:before="61" w:line="219" w:lineRule="auto"/>
              <w:ind w:left="244"/>
            </w:pPr>
            <w:r>
              <w:t>(1)对符合条件的2027届中等职业学校学生申报，</w:t>
            </w:r>
          </w:p>
          <w:p>
            <w:pPr>
              <w:pStyle w:val="6"/>
              <w:spacing w:before="49" w:line="219" w:lineRule="auto"/>
              <w:jc w:val="right"/>
            </w:pPr>
            <w:r>
              <w:rPr>
                <w:spacing w:val="-6"/>
              </w:rPr>
              <w:t>按1500元/人的标准发放一次性求职补贴，及</w:t>
            </w:r>
            <w:r>
              <w:rPr>
                <w:spacing w:val="-7"/>
              </w:rPr>
              <w:t>时对接区</w:t>
            </w:r>
          </w:p>
          <w:p>
            <w:pPr>
              <w:pStyle w:val="6"/>
              <w:spacing w:before="47" w:line="219" w:lineRule="auto"/>
              <w:ind w:left="74"/>
            </w:pPr>
            <w:r>
              <w:t>内2家职业院校向毕业生宣传政策，引导符合条件的</w:t>
            </w:r>
          </w:p>
          <w:p>
            <w:pPr>
              <w:pStyle w:val="6"/>
              <w:spacing w:before="27" w:line="216" w:lineRule="auto"/>
              <w:ind w:left="74"/>
            </w:pPr>
            <w:r>
              <w:t>毕业生网上申报，确保毕业生“最多跑一次”,对审</w:t>
            </w:r>
          </w:p>
          <w:p>
            <w:pPr>
              <w:pStyle w:val="6"/>
              <w:spacing w:before="45" w:line="219" w:lineRule="auto"/>
              <w:jc w:val="right"/>
            </w:pPr>
            <w:r>
              <w:rPr>
                <w:spacing w:val="-12"/>
              </w:rPr>
              <w:t>核通过符合申领条件的毕业生，及时通过“银行代发、</w:t>
            </w:r>
          </w:p>
          <w:p>
            <w:pPr>
              <w:pStyle w:val="6"/>
              <w:spacing w:before="39" w:line="219" w:lineRule="auto"/>
              <w:ind w:left="24"/>
            </w:pPr>
            <w:r>
              <w:rPr>
                <w:spacing w:val="-1"/>
              </w:rPr>
              <w:t>直补到人”的方式，将补贴资金按时足额发放到毕业</w:t>
            </w:r>
          </w:p>
          <w:p>
            <w:pPr>
              <w:pStyle w:val="6"/>
              <w:spacing w:before="27" w:line="219" w:lineRule="auto"/>
              <w:ind w:left="184"/>
            </w:pPr>
            <w:r>
              <w:t>生社会保障卡金融账户或毕业生提供的银行账</w:t>
            </w:r>
            <w:r>
              <w:rPr>
                <w:spacing w:val="-1"/>
              </w:rPr>
              <w:t>户。</w:t>
            </w:r>
          </w:p>
          <w:p>
            <w:pPr>
              <w:pStyle w:val="6"/>
              <w:spacing w:before="58" w:line="247" w:lineRule="auto"/>
              <w:ind w:left="24" w:firstLine="195"/>
            </w:pPr>
            <w:r>
              <w:rPr>
                <w:spacing w:val="-12"/>
              </w:rPr>
              <w:t>(2)结合全区企业发展实际，每月更新企业用工需求，</w:t>
            </w:r>
            <w:r>
              <w:rPr>
                <w:spacing w:val="15"/>
              </w:rPr>
              <w:t xml:space="preserve"> </w:t>
            </w:r>
            <w:r>
              <w:rPr>
                <w:spacing w:val="-4"/>
              </w:rPr>
              <w:t>通过区政府网站、叶集招聘公众号等向社会发布，同</w:t>
            </w:r>
            <w:r>
              <w:rPr>
                <w:spacing w:val="2"/>
              </w:rPr>
              <w:t xml:space="preserve">  </w:t>
            </w:r>
            <w:r>
              <w:rPr>
                <w:spacing w:val="-4"/>
              </w:rPr>
              <w:t>时以企业需求为导向，持续开展“2+N”系列招聘会，</w:t>
            </w:r>
            <w:r>
              <w:rPr>
                <w:spacing w:val="10"/>
              </w:rPr>
              <w:t xml:space="preserve"> </w:t>
            </w:r>
            <w:r>
              <w:rPr>
                <w:spacing w:val="-4"/>
              </w:rPr>
              <w:t>通过线下线上相结合的方式，常态化组织企业</w:t>
            </w:r>
            <w:r>
              <w:rPr>
                <w:spacing w:val="-5"/>
              </w:rPr>
              <w:t>开展专</w:t>
            </w:r>
            <w:r>
              <w:t xml:space="preserve">  场招聘会、直播带岗等活动。</w:t>
            </w:r>
          </w:p>
          <w:p>
            <w:pPr>
              <w:pStyle w:val="6"/>
              <w:spacing w:before="29" w:line="230" w:lineRule="auto"/>
              <w:ind w:left="24" w:firstLine="209"/>
            </w:pPr>
            <w:r>
              <w:rPr>
                <w:spacing w:val="-4"/>
              </w:rPr>
              <w:t>(3)深化“三公里”就业圈建设，加强对基层工作人</w:t>
            </w:r>
            <w:r>
              <w:rPr>
                <w:spacing w:val="17"/>
              </w:rPr>
              <w:t xml:space="preserve"> </w:t>
            </w:r>
            <w:r>
              <w:t>员就业政策业务培训，提升经办服务能力，持续优化 高效便捷的公共就业服务供给，促进重点群体稳定就</w:t>
            </w:r>
            <w:r>
              <w:rPr>
                <w:spacing w:val="1"/>
              </w:rPr>
              <w:t xml:space="preserve"> </w:t>
            </w:r>
            <w:r>
              <w:rPr>
                <w:spacing w:val="6"/>
              </w:rPr>
              <w:t>业、劳动者高质量就业。</w:t>
            </w:r>
          </w:p>
        </w:tc>
        <w:tc>
          <w:tcPr>
            <w:tcW w:w="1903" w:type="dxa"/>
            <w:vAlign w:val="top"/>
          </w:tcPr>
          <w:p>
            <w:pPr>
              <w:rPr>
                <w:rFonts w:ascii="Arial"/>
                <w:sz w:val="21"/>
              </w:rPr>
            </w:pPr>
          </w:p>
        </w:tc>
      </w:tr>
    </w:tbl>
    <w:p>
      <w:pPr>
        <w:pStyle w:val="2"/>
      </w:pPr>
    </w:p>
    <w:p>
      <w:pPr>
        <w:sectPr>
          <w:footerReference r:id="rId16" w:type="default"/>
          <w:pgSz w:w="16830" w:h="11900"/>
          <w:pgMar w:top="1011" w:right="2075" w:bottom="1401" w:left="1824" w:header="0" w:footer="1049" w:gutter="0"/>
          <w:cols w:space="720" w:num="1"/>
        </w:sectPr>
      </w:pPr>
    </w:p>
    <w:p>
      <w:pPr>
        <w:pStyle w:val="2"/>
      </w:pPr>
    </w:p>
    <w:p>
      <w:pPr>
        <w:sectPr>
          <w:headerReference r:id="rId17" w:type="default"/>
          <w:footerReference r:id="rId18" w:type="default"/>
          <w:pgSz w:w="11900" w:h="16830"/>
          <w:pgMar w:top="0" w:right="0" w:bottom="0" w:left="0" w:header="0" w:footer="0" w:gutter="0"/>
          <w:cols w:space="720" w:num="1"/>
        </w:sectPr>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bookmarkEnd w:id="0"/>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
    <w:p/>
    <w:p/>
    <w:p/>
    <w:p/>
    <w:p/>
    <w:p/>
    <w:p/>
    <w:tbl>
      <w:tblPr>
        <w:tblStyle w:val="5"/>
        <w:tblW w:w="877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137"/>
        <w:gridCol w:w="3635"/>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0" w:hRule="atLeast"/>
        </w:trPr>
        <w:tc>
          <w:tcPr>
            <w:tcW w:w="8772" w:type="dxa"/>
            <w:gridSpan w:val="2"/>
            <w:tcBorders>
              <w:top w:val="single" w:color="000000" w:sz="4" w:space="0"/>
              <w:bottom w:val="single" w:color="000000" w:sz="4" w:space="0"/>
            </w:tcBorders>
            <w:vAlign w:val="top"/>
          </w:tcPr>
          <w:p>
            <w:pPr>
              <w:pStyle w:val="6"/>
              <w:spacing w:before="185" w:line="219" w:lineRule="auto"/>
              <w:ind w:left="19"/>
              <w:rPr>
                <w:sz w:val="29"/>
                <w:szCs w:val="29"/>
              </w:rPr>
            </w:pPr>
            <w:r>
              <w:rPr>
                <w:spacing w:val="-1"/>
                <w:sz w:val="29"/>
                <w:szCs w:val="29"/>
              </w:rPr>
              <w:t>抄送：区人大常委会办公室。</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50" w:hRule="atLeast"/>
        </w:trPr>
        <w:tc>
          <w:tcPr>
            <w:tcW w:w="5137" w:type="dxa"/>
            <w:tcBorders>
              <w:top w:val="single" w:color="000000" w:sz="4" w:space="0"/>
              <w:bottom w:val="single" w:color="000000" w:sz="4" w:space="0"/>
            </w:tcBorders>
            <w:vAlign w:val="top"/>
          </w:tcPr>
          <w:p>
            <w:pPr>
              <w:pStyle w:val="6"/>
              <w:spacing w:before="185" w:line="219" w:lineRule="auto"/>
              <w:ind w:left="19"/>
              <w:rPr>
                <w:sz w:val="29"/>
                <w:szCs w:val="29"/>
              </w:rPr>
            </w:pPr>
            <w:r>
              <w:rPr>
                <w:sz w:val="29"/>
                <w:szCs w:val="29"/>
              </w:rPr>
              <w:t>六安市叶集区发展和改革委员会</w:t>
            </w:r>
          </w:p>
        </w:tc>
        <w:tc>
          <w:tcPr>
            <w:tcW w:w="3635" w:type="dxa"/>
            <w:tcBorders>
              <w:top w:val="single" w:color="000000" w:sz="4" w:space="0"/>
              <w:bottom w:val="single" w:color="000000" w:sz="4" w:space="0"/>
            </w:tcBorders>
            <w:vAlign w:val="top"/>
          </w:tcPr>
          <w:p>
            <w:pPr>
              <w:pStyle w:val="6"/>
              <w:spacing w:before="187" w:line="219" w:lineRule="auto"/>
              <w:jc w:val="right"/>
              <w:rPr>
                <w:sz w:val="29"/>
                <w:szCs w:val="29"/>
              </w:rPr>
            </w:pPr>
            <w:r>
              <w:rPr>
                <w:spacing w:val="1"/>
                <w:sz w:val="29"/>
                <w:szCs w:val="29"/>
              </w:rPr>
              <w:t>2026年5月12日印发</w:t>
            </w:r>
          </w:p>
        </w:tc>
      </w:tr>
    </w:tbl>
    <w:p>
      <w:pPr>
        <w:pStyle w:val="2"/>
      </w:pPr>
    </w:p>
    <w:sectPr>
      <w:pgSz w:w="11900" w:h="16830"/>
      <w:pgMar w:top="400" w:right="1627" w:bottom="400" w:left="149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11654"/>
      <w:rPr>
        <w:rFonts w:ascii="宋体" w:hAnsi="宋体" w:eastAsia="宋体" w:cs="宋体"/>
        <w:sz w:val="21"/>
        <w:szCs w:val="21"/>
      </w:rPr>
    </w:pPr>
    <w:r>
      <w:rPr>
        <w:rFonts w:ascii="宋体" w:hAnsi="宋体" w:eastAsia="宋体" w:cs="宋体"/>
        <w:spacing w:val="-13"/>
        <w:sz w:val="21"/>
        <w:szCs w:val="21"/>
      </w:rPr>
      <w:t>-</w:t>
    </w:r>
    <w:r>
      <w:rPr>
        <w:rFonts w:ascii="宋体" w:hAnsi="宋体" w:eastAsia="宋体" w:cs="宋体"/>
        <w:spacing w:val="21"/>
        <w:sz w:val="21"/>
        <w:szCs w:val="21"/>
      </w:rPr>
      <w:t xml:space="preserve">  </w:t>
    </w:r>
    <w:r>
      <w:rPr>
        <w:rFonts w:ascii="宋体" w:hAnsi="宋体" w:eastAsia="宋体" w:cs="宋体"/>
        <w:spacing w:val="-13"/>
        <w:sz w:val="21"/>
        <w:szCs w:val="21"/>
      </w:rPr>
      <w:t>3</w:t>
    </w:r>
    <w:r>
      <w:rPr>
        <w:rFonts w:ascii="宋体" w:hAnsi="宋体" w:eastAsia="宋体" w:cs="宋体"/>
        <w:spacing w:val="83"/>
        <w:sz w:val="21"/>
        <w:szCs w:val="21"/>
      </w:rPr>
      <w:t xml:space="preserve"> </w:t>
    </w:r>
    <w:r>
      <w:rPr>
        <w:rFonts w:ascii="宋体" w:hAnsi="宋体" w:eastAsia="宋体" w:cs="宋体"/>
        <w:spacing w:val="-13"/>
        <w:sz w:val="21"/>
        <w:szCs w:val="21"/>
      </w:rPr>
      <w:t>-一</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374"/>
      <w:rPr>
        <w:rFonts w:ascii="宋体" w:hAnsi="宋体" w:eastAsia="宋体" w:cs="宋体"/>
        <w:sz w:val="26"/>
        <w:szCs w:val="26"/>
      </w:rPr>
    </w:pPr>
    <w:r>
      <w:rPr>
        <w:rFonts w:ascii="宋体" w:hAnsi="宋体" w:eastAsia="宋体" w:cs="宋体"/>
        <w:spacing w:val="-3"/>
        <w:sz w:val="26"/>
        <w:szCs w:val="26"/>
      </w:rPr>
      <w:t>—12—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2" w:lineRule="auto"/>
      <w:ind w:left="11515"/>
      <w:rPr>
        <w:rFonts w:ascii="宋体" w:hAnsi="宋体" w:eastAsia="宋体" w:cs="宋体"/>
        <w:sz w:val="27"/>
        <w:szCs w:val="27"/>
      </w:rPr>
    </w:pPr>
    <w:r>
      <w:rPr>
        <w:rFonts w:ascii="宋体" w:hAnsi="宋体" w:eastAsia="宋体" w:cs="宋体"/>
        <w:spacing w:val="-3"/>
        <w:sz w:val="27"/>
        <w:szCs w:val="27"/>
      </w:rPr>
      <w:t>—13—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364"/>
      <w:rPr>
        <w:rFonts w:ascii="宋体" w:hAnsi="宋体" w:eastAsia="宋体" w:cs="宋体"/>
        <w:sz w:val="27"/>
        <w:szCs w:val="27"/>
      </w:rPr>
    </w:pPr>
    <w:r>
      <w:rPr>
        <w:rFonts w:ascii="宋体" w:hAnsi="宋体" w:eastAsia="宋体" w:cs="宋体"/>
        <w:spacing w:val="-3"/>
        <w:sz w:val="27"/>
        <w:szCs w:val="27"/>
      </w:rPr>
      <w:t>—14—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4"/>
      <w:rPr>
        <w:rFonts w:ascii="宋体" w:hAnsi="宋体" w:eastAsia="宋体" w:cs="宋体"/>
        <w:sz w:val="25"/>
        <w:szCs w:val="25"/>
      </w:rPr>
    </w:pPr>
    <w:r>
      <w:rPr>
        <w:rFonts w:ascii="宋体" w:hAnsi="宋体" w:eastAsia="宋体" w:cs="宋体"/>
        <w:spacing w:val="-3"/>
        <w:sz w:val="25"/>
        <w:szCs w:val="25"/>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2" w:lineRule="auto"/>
      <w:ind w:left="11664"/>
      <w:rPr>
        <w:rFonts w:ascii="宋体" w:hAnsi="宋体" w:eastAsia="宋体" w:cs="宋体"/>
        <w:sz w:val="25"/>
        <w:szCs w:val="25"/>
      </w:rPr>
    </w:pPr>
    <w:r>
      <w:rPr>
        <w:rFonts w:ascii="宋体" w:hAnsi="宋体" w:eastAsia="宋体" w:cs="宋体"/>
        <w:spacing w:val="-3"/>
        <w:sz w:val="25"/>
        <w:szCs w:val="25"/>
      </w:rPr>
      <w:t>—5—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385"/>
      <w:rPr>
        <w:rFonts w:ascii="宋体" w:hAnsi="宋体" w:eastAsia="宋体" w:cs="宋体"/>
        <w:sz w:val="20"/>
        <w:szCs w:val="20"/>
      </w:rPr>
    </w:pPr>
    <w:r>
      <w:rPr>
        <w:rFonts w:ascii="宋体" w:hAnsi="宋体" w:eastAsia="宋体" w:cs="宋体"/>
        <w:spacing w:val="-3"/>
        <w:sz w:val="20"/>
        <w:szCs w:val="20"/>
      </w:rPr>
      <w:t>—6—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11654"/>
      <w:rPr>
        <w:rFonts w:ascii="宋体" w:hAnsi="宋体" w:eastAsia="宋体" w:cs="宋体"/>
        <w:sz w:val="24"/>
        <w:szCs w:val="24"/>
      </w:rPr>
    </w:pPr>
    <w:r>
      <w:rPr>
        <w:rFonts w:ascii="宋体" w:hAnsi="宋体" w:eastAsia="宋体" w:cs="宋体"/>
        <w:spacing w:val="-21"/>
        <w:w w:val="99"/>
        <w:sz w:val="24"/>
        <w:szCs w:val="24"/>
      </w:rPr>
      <w:t>-</w:t>
    </w:r>
    <w:r>
      <w:rPr>
        <w:rFonts w:ascii="宋体" w:hAnsi="宋体" w:eastAsia="宋体" w:cs="宋体"/>
        <w:spacing w:val="9"/>
        <w:sz w:val="24"/>
        <w:szCs w:val="24"/>
      </w:rPr>
      <w:t xml:space="preserve">  </w:t>
    </w:r>
    <w:r>
      <w:rPr>
        <w:rFonts w:ascii="宋体" w:hAnsi="宋体" w:eastAsia="宋体" w:cs="宋体"/>
        <w:spacing w:val="-21"/>
        <w:w w:val="99"/>
        <w:sz w:val="24"/>
        <w:szCs w:val="24"/>
      </w:rPr>
      <w:t>7</w:t>
    </w:r>
    <w:r>
      <w:rPr>
        <w:rFonts w:ascii="宋体" w:hAnsi="宋体" w:eastAsia="宋体" w:cs="宋体"/>
        <w:spacing w:val="76"/>
        <w:sz w:val="24"/>
        <w:szCs w:val="24"/>
      </w:rPr>
      <w:t xml:space="preserve"> </w:t>
    </w:r>
    <w:r>
      <w:rPr>
        <w:rFonts w:ascii="宋体" w:hAnsi="宋体" w:eastAsia="宋体" w:cs="宋体"/>
        <w:spacing w:val="-21"/>
        <w:w w:val="99"/>
        <w:sz w:val="24"/>
        <w:szCs w:val="24"/>
      </w:rPr>
      <w:t>-一</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364"/>
      <w:rPr>
        <w:rFonts w:ascii="宋体" w:hAnsi="宋体" w:eastAsia="宋体" w:cs="宋体"/>
        <w:sz w:val="24"/>
        <w:szCs w:val="24"/>
      </w:rPr>
    </w:pPr>
    <w:r>
      <w:rPr>
        <w:rFonts w:ascii="宋体" w:hAnsi="宋体" w:eastAsia="宋体" w:cs="宋体"/>
        <w:spacing w:val="-3"/>
        <w:sz w:val="24"/>
        <w:szCs w:val="24"/>
      </w:rPr>
      <w:t>—8—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11654"/>
      <w:rPr>
        <w:rFonts w:ascii="宋体" w:hAnsi="宋体" w:eastAsia="宋体" w:cs="宋体"/>
        <w:sz w:val="21"/>
        <w:szCs w:val="21"/>
      </w:rPr>
    </w:pPr>
    <w:r>
      <w:rPr>
        <w:rFonts w:ascii="宋体" w:hAnsi="宋体" w:eastAsia="宋体" w:cs="宋体"/>
        <w:spacing w:val="-3"/>
        <w:sz w:val="21"/>
        <w:szCs w:val="21"/>
      </w:rPr>
      <w:t>—9—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2" w:lineRule="auto"/>
      <w:ind w:left="374"/>
      <w:rPr>
        <w:rFonts w:ascii="宋体" w:hAnsi="宋体" w:eastAsia="宋体" w:cs="宋体"/>
        <w:sz w:val="25"/>
        <w:szCs w:val="25"/>
      </w:rPr>
    </w:pPr>
    <w:r>
      <w:rPr>
        <w:rFonts w:ascii="宋体" w:hAnsi="宋体" w:eastAsia="宋体" w:cs="宋体"/>
        <w:spacing w:val="-2"/>
        <w:sz w:val="25"/>
        <w:szCs w:val="25"/>
      </w:rPr>
      <w:t>—10—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1504"/>
      <w:rPr>
        <w:rFonts w:ascii="宋体" w:hAnsi="宋体" w:eastAsia="宋体" w:cs="宋体"/>
        <w:sz w:val="24"/>
        <w:szCs w:val="24"/>
      </w:rPr>
    </w:pPr>
    <w:r>
      <w:rPr>
        <w:rFonts w:ascii="宋体" w:hAnsi="宋体" w:eastAsia="宋体" w:cs="宋体"/>
        <w:spacing w:val="-2"/>
        <w:sz w:val="24"/>
        <w:szCs w:val="24"/>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WI2YjAyOGRmZWY5ZGU4ZjI2ZTE5MzlmMDg0ZDJlOGIifQ=="/>
  </w:docVars>
  <w:rsids>
    <w:rsidRoot w:val="00000000"/>
    <w:rsid w:val="18DD33BE"/>
    <w:rsid w:val="1E093374"/>
    <w:rsid w:val="2B1671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3.xml"/><Relationship Id="rId17" Type="http://schemas.openxmlformats.org/officeDocument/2006/relationships/header" Target="header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8978</Words>
  <Characters>9318</Characters>
  <TotalTime>9</TotalTime>
  <ScaleCrop>false</ScaleCrop>
  <LinksUpToDate>false</LinksUpToDate>
  <CharactersWithSpaces>9829</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2026-05-22T14:49:00Z</dcterms:created>
  <dc:creator>Administrator</dc:creator>
  <cp:lastModifiedBy>汪洁</cp:lastModifiedBy>
  <dcterms:modified xsi:type="dcterms:W3CDTF">2026-07-27T07:50:38Z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2026-05-22T14:49:49Z</vt:filetime>
  </property>
  <property fmtid="{D5CDD505-2E9C-101B-9397-08002B2CF9AE}" pid="4" name="UsrData">
    <vt:lpwstr>6a0ffc85259dfc001fb176f7wl</vt:lpwstr>
  </property>
  <property fmtid="{D5CDD505-2E9C-101B-9397-08002B2CF9AE}" pid="5" name="KSOProductBuildVer">
    <vt:lpwstr>2052-11.1.0.14309</vt:lpwstr>
  </property>
  <property fmtid="{D5CDD505-2E9C-101B-9397-08002B2CF9AE}" pid="6" name="ICV">
    <vt:lpwstr>39DF5546FF434773A54644604FB5A489_13</vt:lpwstr>
  </property>
</Properties>
</file>