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E5659">
      <w:pPr>
        <w:spacing w:line="560" w:lineRule="exact"/>
        <w:rPr>
          <w:rFonts w:ascii="方正小标宋简体" w:hAnsi="方正小标宋简体" w:eastAsia="方正小标宋简体" w:cs="Times New Roman"/>
          <w:b/>
          <w:bCs/>
          <w:sz w:val="36"/>
          <w:szCs w:val="36"/>
        </w:rPr>
      </w:pPr>
    </w:p>
    <w:p w14:paraId="0E1356DF">
      <w:pPr>
        <w:spacing w:line="560" w:lineRule="exact"/>
        <w:jc w:val="center"/>
        <w:rPr>
          <w:rFonts w:ascii="方正小标宋简体" w:hAnsi="方正小标宋简体" w:eastAsia="方正小标宋简体" w:cs="Times New Roman"/>
          <w:sz w:val="36"/>
          <w:szCs w:val="36"/>
        </w:rPr>
      </w:pPr>
      <w:r>
        <w:rPr>
          <w:rFonts w:hint="eastAsia" w:ascii="方正小标宋简体" w:hAnsi="方正小标宋简体" w:eastAsia="方正小标宋简体" w:cs="方正小标宋简体"/>
          <w:sz w:val="36"/>
          <w:szCs w:val="36"/>
          <w:lang w:val="en-US" w:eastAsia="zh-CN"/>
        </w:rPr>
        <w:t>中国人民政治协商会议安徽省六安市叶集区委员会办公室</w:t>
      </w:r>
      <w:r>
        <w:rPr>
          <w:rFonts w:hint="eastAsia" w:ascii="方正小标宋简体" w:hAnsi="方正小标宋简体" w:eastAsia="方正小标宋简体" w:cs="方正小标宋简体"/>
          <w:sz w:val="36"/>
          <w:szCs w:val="36"/>
        </w:rPr>
        <w:t>202</w:t>
      </w:r>
      <w:r>
        <w:rPr>
          <w:rFonts w:hint="eastAsia" w:ascii="方正小标宋简体" w:hAnsi="方正小标宋简体" w:eastAsia="方正小标宋简体" w:cs="方正小标宋简体"/>
          <w:sz w:val="36"/>
          <w:szCs w:val="36"/>
          <w:lang w:val="en-US" w:eastAsia="zh-CN"/>
        </w:rPr>
        <w:t>6</w:t>
      </w:r>
      <w:r>
        <w:rPr>
          <w:rFonts w:hint="eastAsia" w:ascii="方正小标宋简体" w:hAnsi="方正小标宋简体" w:eastAsia="方正小标宋简体" w:cs="方正小标宋简体"/>
          <w:sz w:val="36"/>
          <w:szCs w:val="36"/>
        </w:rPr>
        <w:t>年一般公共预算安排“三</w:t>
      </w:r>
      <w:bookmarkStart w:id="0" w:name="_GoBack"/>
      <w:bookmarkEnd w:id="0"/>
      <w:r>
        <w:rPr>
          <w:rFonts w:hint="eastAsia" w:ascii="方正小标宋简体" w:hAnsi="方正小标宋简体" w:eastAsia="方正小标宋简体" w:cs="方正小标宋简体"/>
          <w:sz w:val="36"/>
          <w:szCs w:val="36"/>
        </w:rPr>
        <w:t>公”经费情况</w:t>
      </w:r>
    </w:p>
    <w:p w14:paraId="16F867E1">
      <w:pPr>
        <w:spacing w:line="560" w:lineRule="exact"/>
        <w:rPr>
          <w:rFonts w:ascii="仿宋_GB2312" w:hAnsi="仿宋" w:eastAsia="仿宋_GB2312" w:cs="Times New Roman"/>
          <w:sz w:val="32"/>
          <w:szCs w:val="32"/>
        </w:rPr>
      </w:pPr>
    </w:p>
    <w:p w14:paraId="52B5E5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一、</w:t>
      </w:r>
      <w:r>
        <w:rPr>
          <w:rFonts w:hint="eastAsia" w:ascii="黑体" w:hAnsi="黑体" w:eastAsia="黑体" w:cs="黑体"/>
          <w:sz w:val="32"/>
          <w:szCs w:val="32"/>
          <w:lang w:val="en-US" w:eastAsia="zh-CN"/>
        </w:rPr>
        <w:t>中国人民政治协商会议安徽省六安市叶集区委员会办公室</w:t>
      </w:r>
      <w:r>
        <w:rPr>
          <w:rFonts w:hint="eastAsia" w:ascii="黑体" w:hAnsi="黑体" w:eastAsia="黑体" w:cs="黑体"/>
          <w:sz w:val="32"/>
          <w:szCs w:val="32"/>
        </w:rPr>
        <w:t>202</w:t>
      </w:r>
      <w:r>
        <w:rPr>
          <w:rFonts w:hint="eastAsia" w:ascii="黑体" w:hAnsi="黑体" w:eastAsia="黑体" w:cs="黑体"/>
          <w:sz w:val="32"/>
          <w:szCs w:val="32"/>
          <w:lang w:val="en-US" w:eastAsia="zh-CN"/>
        </w:rPr>
        <w:t>6</w:t>
      </w:r>
      <w:r>
        <w:rPr>
          <w:rFonts w:hint="eastAsia" w:ascii="黑体" w:hAnsi="黑体" w:eastAsia="黑体" w:cs="黑体"/>
          <w:sz w:val="32"/>
          <w:szCs w:val="32"/>
        </w:rPr>
        <w:t>年“三公”经费预算表</w:t>
      </w:r>
    </w:p>
    <w:p w14:paraId="272F5367">
      <w:pPr>
        <w:spacing w:line="560" w:lineRule="exact"/>
        <w:jc w:val="right"/>
        <w:rPr>
          <w:rFonts w:ascii="仿宋_GB2312" w:hAnsi="仿宋" w:eastAsia="仿宋_GB2312" w:cs="Times New Roman"/>
          <w:sz w:val="32"/>
          <w:szCs w:val="32"/>
        </w:rPr>
      </w:pPr>
      <w:r>
        <w:rPr>
          <w:rFonts w:hint="eastAsia" w:ascii="仿宋_GB2312" w:hAnsi="仿宋" w:eastAsia="仿宋_GB2312" w:cs="仿宋_GB2312"/>
          <w:sz w:val="32"/>
          <w:szCs w:val="32"/>
        </w:rPr>
        <w:t>单位：万元</w:t>
      </w:r>
    </w:p>
    <w:tbl>
      <w:tblPr>
        <w:tblStyle w:val="5"/>
        <w:tblW w:w="8784" w:type="dxa"/>
        <w:tblInd w:w="0" w:type="dxa"/>
        <w:tblLayout w:type="autofit"/>
        <w:tblCellMar>
          <w:top w:w="0" w:type="dxa"/>
          <w:left w:w="108" w:type="dxa"/>
          <w:bottom w:w="0" w:type="dxa"/>
          <w:right w:w="108" w:type="dxa"/>
        </w:tblCellMar>
      </w:tblPr>
      <w:tblGrid>
        <w:gridCol w:w="1696"/>
        <w:gridCol w:w="1418"/>
        <w:gridCol w:w="887"/>
        <w:gridCol w:w="1664"/>
        <w:gridCol w:w="1724"/>
        <w:gridCol w:w="1395"/>
      </w:tblGrid>
      <w:tr w14:paraId="396A5F62">
        <w:tblPrEx>
          <w:tblCellMar>
            <w:top w:w="0" w:type="dxa"/>
            <w:left w:w="108" w:type="dxa"/>
            <w:bottom w:w="0" w:type="dxa"/>
            <w:right w:w="108" w:type="dxa"/>
          </w:tblCellMar>
        </w:tblPrEx>
        <w:trPr>
          <w:trHeight w:val="375" w:hRule="atLeast"/>
        </w:trPr>
        <w:tc>
          <w:tcPr>
            <w:tcW w:w="169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2B3961">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“三公”经费合计</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45106F">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因公出国（境）费</w:t>
            </w:r>
          </w:p>
        </w:tc>
        <w:tc>
          <w:tcPr>
            <w:tcW w:w="427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945620">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公务用车购置及运行费</w:t>
            </w:r>
          </w:p>
        </w:tc>
        <w:tc>
          <w:tcPr>
            <w:tcW w:w="13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513DEE">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公务</w:t>
            </w:r>
          </w:p>
          <w:p w14:paraId="34B907BB">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接待费</w:t>
            </w:r>
          </w:p>
        </w:tc>
      </w:tr>
      <w:tr w14:paraId="5C95C73A">
        <w:tblPrEx>
          <w:tblCellMar>
            <w:top w:w="0" w:type="dxa"/>
            <w:left w:w="108" w:type="dxa"/>
            <w:bottom w:w="0" w:type="dxa"/>
            <w:right w:w="108" w:type="dxa"/>
          </w:tblCellMar>
        </w:tblPrEx>
        <w:trPr>
          <w:trHeight w:val="800" w:hRule="atLeast"/>
        </w:trPr>
        <w:tc>
          <w:tcPr>
            <w:tcW w:w="1696" w:type="dxa"/>
            <w:vMerge w:val="continue"/>
            <w:tcBorders>
              <w:top w:val="single" w:color="000000" w:sz="4" w:space="0"/>
              <w:left w:val="single" w:color="000000" w:sz="4" w:space="0"/>
              <w:bottom w:val="single" w:color="000000" w:sz="4" w:space="0"/>
              <w:right w:val="single" w:color="000000" w:sz="4" w:space="0"/>
            </w:tcBorders>
            <w:vAlign w:val="center"/>
          </w:tcPr>
          <w:p w14:paraId="40DA1342">
            <w:pPr>
              <w:widowControl/>
              <w:spacing w:after="0" w:line="240" w:lineRule="auto"/>
              <w:jc w:val="left"/>
              <w:rPr>
                <w:rFonts w:hint="eastAsia" w:ascii="仿宋_GB2312" w:hAnsi="仿宋_GB2312" w:eastAsia="仿宋_GB2312" w:cs="仿宋_GB2312"/>
                <w:b/>
                <w:bCs/>
                <w:color w:val="000000"/>
                <w:kern w:val="0"/>
                <w:sz w:val="32"/>
                <w:szCs w:val="32"/>
              </w:rPr>
            </w:pPr>
          </w:p>
        </w:tc>
        <w:tc>
          <w:tcPr>
            <w:tcW w:w="1418" w:type="dxa"/>
            <w:vMerge w:val="continue"/>
            <w:tcBorders>
              <w:top w:val="single" w:color="000000" w:sz="4" w:space="0"/>
              <w:left w:val="single" w:color="000000" w:sz="4" w:space="0"/>
              <w:bottom w:val="single" w:color="000000" w:sz="4" w:space="0"/>
              <w:right w:val="single" w:color="000000" w:sz="4" w:space="0"/>
            </w:tcBorders>
            <w:vAlign w:val="center"/>
          </w:tcPr>
          <w:p w14:paraId="0921B0F5">
            <w:pPr>
              <w:widowControl/>
              <w:spacing w:after="0" w:line="240" w:lineRule="auto"/>
              <w:jc w:val="left"/>
              <w:rPr>
                <w:rFonts w:hint="eastAsia" w:ascii="仿宋_GB2312" w:hAnsi="仿宋_GB2312" w:eastAsia="仿宋_GB2312" w:cs="仿宋_GB2312"/>
                <w:b/>
                <w:bCs/>
                <w:color w:val="000000"/>
                <w:kern w:val="0"/>
                <w:sz w:val="32"/>
                <w:szCs w:val="32"/>
              </w:rPr>
            </w:pP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E62A5">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小计</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337CF">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公务用车</w:t>
            </w:r>
          </w:p>
          <w:p w14:paraId="2D6B4443">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购置费</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D8331">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公务用车</w:t>
            </w:r>
          </w:p>
          <w:p w14:paraId="07267C9C">
            <w:pPr>
              <w:widowControl/>
              <w:spacing w:after="0" w:line="240" w:lineRule="auto"/>
              <w:jc w:val="center"/>
              <w:rPr>
                <w:rFonts w:hint="eastAsia"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运行费</w:t>
            </w:r>
          </w:p>
        </w:tc>
        <w:tc>
          <w:tcPr>
            <w:tcW w:w="1395" w:type="dxa"/>
            <w:vMerge w:val="continue"/>
            <w:tcBorders>
              <w:top w:val="single" w:color="000000" w:sz="4" w:space="0"/>
              <w:left w:val="single" w:color="000000" w:sz="4" w:space="0"/>
              <w:bottom w:val="single" w:color="000000" w:sz="4" w:space="0"/>
              <w:right w:val="single" w:color="000000" w:sz="4" w:space="0"/>
            </w:tcBorders>
            <w:vAlign w:val="center"/>
          </w:tcPr>
          <w:p w14:paraId="6A871DF9">
            <w:pPr>
              <w:widowControl/>
              <w:spacing w:after="0" w:line="240" w:lineRule="auto"/>
              <w:jc w:val="left"/>
              <w:rPr>
                <w:rFonts w:hint="eastAsia" w:ascii="仿宋_GB2312" w:hAnsi="仿宋_GB2312" w:eastAsia="仿宋_GB2312" w:cs="仿宋_GB2312"/>
                <w:b/>
                <w:bCs/>
                <w:color w:val="000000"/>
                <w:kern w:val="0"/>
                <w:sz w:val="32"/>
                <w:szCs w:val="32"/>
              </w:rPr>
            </w:pPr>
          </w:p>
        </w:tc>
      </w:tr>
      <w:tr w14:paraId="7B76DB8D">
        <w:tblPrEx>
          <w:tblCellMar>
            <w:top w:w="0" w:type="dxa"/>
            <w:left w:w="108" w:type="dxa"/>
            <w:bottom w:w="0" w:type="dxa"/>
            <w:right w:w="108" w:type="dxa"/>
          </w:tblCellMar>
        </w:tblPrEx>
        <w:trPr>
          <w:trHeight w:val="540"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8D9E1">
            <w:pPr>
              <w:widowControl/>
              <w:spacing w:after="0" w:line="240" w:lineRule="auto"/>
              <w:jc w:val="center"/>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B7676">
            <w:pPr>
              <w:widowControl/>
              <w:spacing w:after="0" w:line="240" w:lineRule="auto"/>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C7218">
            <w:pPr>
              <w:widowControl/>
              <w:spacing w:after="0" w:line="240" w:lineRule="auto"/>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16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1EBC6">
            <w:pPr>
              <w:widowControl/>
              <w:spacing w:after="0" w:line="240" w:lineRule="auto"/>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17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EB15E">
            <w:pPr>
              <w:widowControl/>
              <w:spacing w:after="0" w:line="240" w:lineRule="auto"/>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0</w:t>
            </w:r>
          </w:p>
        </w:tc>
        <w:tc>
          <w:tcPr>
            <w:tcW w:w="13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743F4">
            <w:pPr>
              <w:widowControl/>
              <w:spacing w:after="0" w:line="240" w:lineRule="auto"/>
              <w:jc w:val="center"/>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kern w:val="0"/>
                <w:sz w:val="32"/>
                <w:szCs w:val="32"/>
                <w:lang w:val="en-US" w:eastAsia="zh-CN"/>
              </w:rPr>
              <w:t>5</w:t>
            </w:r>
          </w:p>
        </w:tc>
      </w:tr>
    </w:tbl>
    <w:p w14:paraId="1D807B6A">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hint="eastAsia" w:ascii="黑体" w:hAnsi="黑体" w:eastAsia="黑体" w:cs="黑体"/>
          <w:sz w:val="32"/>
          <w:szCs w:val="32"/>
        </w:rPr>
      </w:pPr>
    </w:p>
    <w:p w14:paraId="4AB41239">
      <w:pPr>
        <w:keepNext w:val="0"/>
        <w:keepLines w:val="0"/>
        <w:pageBreakBefore w:val="0"/>
        <w:widowControl w:val="0"/>
        <w:kinsoku/>
        <w:wordWrap/>
        <w:overflowPunct/>
        <w:topLinePunct w:val="0"/>
        <w:autoSpaceDE/>
        <w:autoSpaceDN/>
        <w:bidi w:val="0"/>
        <w:spacing w:after="0" w:line="576" w:lineRule="exact"/>
        <w:ind w:firstLine="640" w:firstLineChars="200"/>
        <w:textAlignment w:val="auto"/>
        <w:rPr>
          <w:rFonts w:ascii="黑体" w:hAnsi="黑体" w:eastAsia="黑体" w:cs="Times New Roman"/>
          <w:sz w:val="32"/>
          <w:szCs w:val="32"/>
        </w:rPr>
      </w:pPr>
      <w:r>
        <w:rPr>
          <w:rFonts w:hint="eastAsia" w:ascii="黑体" w:hAnsi="黑体" w:eastAsia="黑体" w:cs="黑体"/>
          <w:sz w:val="32"/>
          <w:szCs w:val="32"/>
        </w:rPr>
        <w:t>二、202</w:t>
      </w:r>
      <w:r>
        <w:rPr>
          <w:rFonts w:hint="eastAsia" w:ascii="黑体" w:hAnsi="黑体" w:eastAsia="黑体" w:cs="黑体"/>
          <w:sz w:val="32"/>
          <w:szCs w:val="32"/>
          <w:lang w:val="en-US" w:eastAsia="zh-CN"/>
        </w:rPr>
        <w:t>6</w:t>
      </w:r>
      <w:r>
        <w:rPr>
          <w:rFonts w:hint="eastAsia" w:ascii="黑体" w:hAnsi="黑体" w:eastAsia="黑体" w:cs="黑体"/>
          <w:sz w:val="32"/>
          <w:szCs w:val="32"/>
        </w:rPr>
        <w:t>年</w:t>
      </w:r>
      <w:r>
        <w:rPr>
          <w:rFonts w:hint="eastAsia" w:ascii="黑体" w:hAnsi="黑体" w:eastAsia="黑体" w:cs="黑体"/>
          <w:sz w:val="32"/>
          <w:szCs w:val="32"/>
          <w:lang w:val="en-US" w:eastAsia="zh-CN"/>
        </w:rPr>
        <w:t>中国人民政治协商会议安徽省六安市叶集区委员会办公室</w:t>
      </w:r>
      <w:r>
        <w:rPr>
          <w:rFonts w:hint="eastAsia" w:ascii="黑体" w:hAnsi="黑体" w:eastAsia="黑体" w:cs="黑体"/>
          <w:sz w:val="32"/>
          <w:szCs w:val="32"/>
        </w:rPr>
        <w:t>“三公”经费支出预算情况说明</w:t>
      </w:r>
    </w:p>
    <w:p w14:paraId="3B6460F7">
      <w:pPr>
        <w:keepNext w:val="0"/>
        <w:keepLines w:val="0"/>
        <w:pageBreakBefore w:val="0"/>
        <w:widowControl w:val="0"/>
        <w:kinsoku/>
        <w:wordWrap/>
        <w:overflowPunct/>
        <w:topLinePunct w:val="0"/>
        <w:autoSpaceDE/>
        <w:autoSpaceDN/>
        <w:bidi w:val="0"/>
        <w:spacing w:beforeAutospacing="0" w:after="0" w:afterAutospacing="0" w:line="576" w:lineRule="exact"/>
        <w:ind w:firstLine="640" w:firstLineChars="200"/>
        <w:textAlignment w:val="auto"/>
        <w:rPr>
          <w:rFonts w:ascii="Times New Roman" w:hAnsi="Times New Roman" w:eastAsia="仿宋_GB2312"/>
          <w:color w:val="000000"/>
          <w:sz w:val="32"/>
          <w:szCs w:val="32"/>
        </w:rPr>
      </w:pPr>
      <w:r>
        <w:rPr>
          <w:rFonts w:hint="eastAsia"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hint="eastAsia" w:ascii="Times New Roman" w:hAnsi="Times New Roman" w:eastAsia="仿宋_GB2312"/>
          <w:color w:val="000000"/>
          <w:sz w:val="32"/>
          <w:szCs w:val="32"/>
        </w:rPr>
        <w:t>年</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u w:val="none"/>
          <w:lang w:eastAsia="zh-CN"/>
        </w:rPr>
        <w:t>中国人民政治协商会议安徽省六安市叶集区委员会办公室</w:t>
      </w:r>
      <w:r>
        <w:rPr>
          <w:rFonts w:hint="eastAsia" w:ascii="Times New Roman" w:hAnsi="Times New Roman" w:eastAsia="仿宋_GB2312"/>
          <w:color w:val="000000"/>
          <w:sz w:val="32"/>
          <w:szCs w:val="32"/>
        </w:rPr>
        <w:t>一般公共预算财政拨款</w:t>
      </w:r>
      <w:r>
        <w:rPr>
          <w:rFonts w:ascii="Times New Roman" w:hAnsi="Times New Roman" w:eastAsia="仿宋_GB2312"/>
          <w:color w:val="000000"/>
          <w:sz w:val="32"/>
          <w:szCs w:val="32"/>
        </w:rPr>
        <w:t>“三公”经费支出预算</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rPr>
        <w:t>与</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lang w:val="en"/>
        </w:rPr>
        <w:t>年</w:t>
      </w:r>
      <w:r>
        <w:rPr>
          <w:rFonts w:hint="eastAsia" w:ascii="Times New Roman" w:hAnsi="Times New Roman" w:eastAsia="仿宋_GB2312"/>
          <w:color w:val="000000"/>
          <w:sz w:val="32"/>
          <w:szCs w:val="32"/>
        </w:rPr>
        <w:t>相比持平</w:t>
      </w:r>
      <w:r>
        <w:rPr>
          <w:rFonts w:ascii="Times New Roman" w:hAnsi="Times New Roman" w:eastAsia="仿宋_GB2312"/>
          <w:color w:val="000000"/>
          <w:sz w:val="32"/>
          <w:szCs w:val="32"/>
        </w:rPr>
        <w:t>。其中</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因公出国（境）费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万元，公务用车购置及运行费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rPr>
        <w:t>，</w:t>
      </w:r>
      <w:r>
        <w:rPr>
          <w:rFonts w:ascii="Times New Roman" w:hAnsi="Times New Roman" w:eastAsia="仿宋_GB2312"/>
          <w:color w:val="000000"/>
          <w:sz w:val="32"/>
          <w:szCs w:val="32"/>
        </w:rPr>
        <w:t>公务接待费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万元。具体情况如下：</w:t>
      </w:r>
    </w:p>
    <w:p w14:paraId="695800A2">
      <w:pPr>
        <w:keepNext w:val="0"/>
        <w:keepLines w:val="0"/>
        <w:pageBreakBefore w:val="0"/>
        <w:widowControl w:val="0"/>
        <w:kinsoku/>
        <w:wordWrap/>
        <w:overflowPunct/>
        <w:topLinePunct w:val="0"/>
        <w:autoSpaceDE/>
        <w:autoSpaceDN/>
        <w:bidi w:val="0"/>
        <w:spacing w:beforeAutospacing="0" w:after="0" w:afterAutospacing="0" w:line="576" w:lineRule="exact"/>
        <w:ind w:firstLine="643" w:firstLineChars="200"/>
        <w:textAlignment w:val="auto"/>
        <w:rPr>
          <w:rFonts w:hint="default" w:ascii="TimesNewRoman" w:hAnsi="TimesNewRoman" w:eastAsia="仿宋_GB2312" w:cs="TimesNewRoman"/>
          <w:color w:val="000000"/>
          <w:sz w:val="32"/>
          <w:szCs w:val="32"/>
          <w:lang w:eastAsia="zh-CN"/>
        </w:rPr>
      </w:pPr>
      <w:r>
        <w:rPr>
          <w:rFonts w:hint="eastAsia" w:ascii="Times New Roman" w:hAnsi="Times New Roman" w:eastAsia="仿宋_GB2312"/>
          <w:b/>
          <w:color w:val="000000"/>
          <w:sz w:val="32"/>
          <w:szCs w:val="32"/>
          <w:lang w:eastAsia="zh-CN"/>
        </w:rPr>
        <w:t>（</w:t>
      </w:r>
      <w:r>
        <w:rPr>
          <w:rFonts w:hint="eastAsia" w:ascii="Times New Roman" w:hAnsi="Times New Roman" w:eastAsia="仿宋_GB2312"/>
          <w:b/>
          <w:color w:val="000000"/>
          <w:sz w:val="32"/>
          <w:szCs w:val="32"/>
          <w:lang w:val="en-US" w:eastAsia="zh-CN"/>
        </w:rPr>
        <w:t>一</w:t>
      </w:r>
      <w:r>
        <w:rPr>
          <w:rFonts w:hint="eastAsia" w:ascii="Times New Roman" w:hAnsi="Times New Roman" w:eastAsia="仿宋_GB2312"/>
          <w:b/>
          <w:color w:val="000000"/>
          <w:sz w:val="32"/>
          <w:szCs w:val="32"/>
          <w:lang w:eastAsia="zh-CN"/>
        </w:rPr>
        <w:t>）</w:t>
      </w:r>
      <w:r>
        <w:rPr>
          <w:rFonts w:ascii="Times New Roman" w:hAnsi="Times New Roman" w:eastAsia="仿宋_GB2312"/>
          <w:b/>
          <w:color w:val="000000"/>
          <w:sz w:val="32"/>
          <w:szCs w:val="32"/>
        </w:rPr>
        <w:t>因公出国（境）费。</w:t>
      </w:r>
      <w:r>
        <w:rPr>
          <w:rFonts w:ascii="Times New Roman" w:hAnsi="Times New Roman" w:eastAsia="仿宋_GB2312"/>
          <w:color w:val="000000"/>
          <w:sz w:val="32"/>
          <w:szCs w:val="32"/>
        </w:rPr>
        <w:t>支出预算</w:t>
      </w:r>
      <w:r>
        <w:rPr>
          <w:rFonts w:hint="eastAsia" w:ascii="Times New Roman" w:hAnsi="Times New Roman" w:eastAsia="仿宋_GB2312"/>
          <w:color w:val="000000"/>
          <w:sz w:val="32"/>
          <w:szCs w:val="32"/>
        </w:rPr>
        <w:t>0</w:t>
      </w:r>
      <w:r>
        <w:rPr>
          <w:rFonts w:ascii="Times New Roman" w:hAnsi="Times New Roman" w:eastAsia="仿宋_GB2312"/>
          <w:color w:val="000000"/>
          <w:sz w:val="32"/>
          <w:szCs w:val="32"/>
        </w:rPr>
        <w:t>万元，</w:t>
      </w:r>
      <w:r>
        <w:rPr>
          <w:rFonts w:hint="eastAsia" w:ascii="Times New Roman" w:hAnsi="Times New Roman" w:eastAsia="仿宋_GB2312"/>
          <w:color w:val="000000"/>
          <w:sz w:val="32"/>
          <w:szCs w:val="32"/>
        </w:rPr>
        <w:t>较上年预算持平。</w:t>
      </w:r>
      <w:r>
        <w:rPr>
          <w:rFonts w:hint="default" w:ascii="TimesNewRoman" w:hAnsi="TimesNewRoman" w:eastAsia="仿宋_GB2312" w:cs="TimesNewRoman"/>
          <w:sz w:val="32"/>
          <w:szCs w:val="32"/>
        </w:rPr>
        <w:t>该项经费预算根据批准的因公临时出国（境）计划，按照规定标准安排；主要是用于因公临时出国（境）业务培训、调研考察等外事活动。经费使用贯彻落实中央八项规定精神，严格执行区委区政府过紧日子要求。</w:t>
      </w:r>
    </w:p>
    <w:p w14:paraId="40F9596B">
      <w:pPr>
        <w:pStyle w:val="4"/>
        <w:keepNext w:val="0"/>
        <w:keepLines w:val="0"/>
        <w:pageBreakBefore w:val="0"/>
        <w:numPr>
          <w:ilvl w:val="0"/>
          <w:numId w:val="0"/>
        </w:numPr>
        <w:kinsoku/>
        <w:wordWrap/>
        <w:overflowPunct/>
        <w:topLinePunct w:val="0"/>
        <w:autoSpaceDE/>
        <w:autoSpaceDN/>
        <w:bidi w:val="0"/>
        <w:adjustRightInd w:val="0"/>
        <w:snapToGrid w:val="0"/>
        <w:spacing w:before="0" w:beforeAutospacing="0" w:afterAutospacing="0" w:line="576" w:lineRule="exact"/>
        <w:ind w:firstLine="643" w:firstLineChars="200"/>
        <w:textAlignment w:val="auto"/>
        <w:rPr>
          <w:rFonts w:ascii="Times New Roman" w:hAnsi="Times New Roman" w:eastAsia="仿宋_GB2312"/>
          <w:color w:val="000000"/>
          <w:sz w:val="32"/>
          <w:szCs w:val="32"/>
        </w:rPr>
      </w:pPr>
      <w:r>
        <w:rPr>
          <w:rFonts w:ascii="Times New Roman" w:hAnsi="Times New Roman" w:eastAsia="仿宋_GB2312" w:cs="Calibri"/>
          <w:b/>
          <w:color w:val="000000"/>
          <w:kern w:val="2"/>
          <w:sz w:val="32"/>
          <w:szCs w:val="32"/>
          <w:lang w:val="en-US" w:eastAsia="zh-CN" w:bidi="ar-SA"/>
        </w:rPr>
        <w:t>（二）公务用车购置及运行费。</w:t>
      </w:r>
      <w:r>
        <w:rPr>
          <w:rFonts w:ascii="Times New Roman" w:hAnsi="Times New Roman" w:eastAsia="仿宋_GB2312" w:cs="Calibri"/>
          <w:b w:val="0"/>
          <w:bCs/>
          <w:color w:val="000000"/>
          <w:kern w:val="2"/>
          <w:sz w:val="32"/>
          <w:szCs w:val="32"/>
          <w:lang w:val="en-US" w:eastAsia="zh-CN" w:bidi="ar-SA"/>
        </w:rPr>
        <w:t>支</w:t>
      </w:r>
      <w:r>
        <w:rPr>
          <w:rFonts w:ascii="Times New Roman" w:hAnsi="Times New Roman" w:eastAsia="仿宋_GB2312"/>
          <w:color w:val="000000"/>
          <w:sz w:val="32"/>
          <w:szCs w:val="32"/>
        </w:rPr>
        <w:t>出预算</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万元，与</w:t>
      </w:r>
      <w:r>
        <w:rPr>
          <w:rFonts w:hint="eastAsia" w:ascii="Times New Roman" w:hAnsi="Times New Roman" w:eastAsia="仿宋_GB2312"/>
          <w:color w:val="000000"/>
          <w:sz w:val="32"/>
          <w:szCs w:val="32"/>
          <w:lang w:val="en-US" w:eastAsia="zh-CN"/>
        </w:rPr>
        <w:t>上年预算</w:t>
      </w:r>
      <w:r>
        <w:rPr>
          <w:rFonts w:ascii="Times New Roman" w:hAnsi="Times New Roman" w:eastAsia="仿宋_GB2312"/>
          <w:color w:val="000000"/>
          <w:sz w:val="32"/>
          <w:szCs w:val="32"/>
        </w:rPr>
        <w:t>持平</w:t>
      </w:r>
      <w:r>
        <w:rPr>
          <w:rFonts w:hint="eastAsia" w:ascii="Times New Roman" w:hAnsi="Times New Roman" w:eastAsia="仿宋_GB2312"/>
          <w:color w:val="000000"/>
          <w:sz w:val="32"/>
          <w:szCs w:val="32"/>
          <w:lang w:val="en-US" w:eastAsia="zh-CN"/>
        </w:rPr>
        <w:t>0。其中：</w:t>
      </w:r>
      <w:r>
        <w:rPr>
          <w:rFonts w:ascii="Times New Roman" w:hAnsi="Times New Roman" w:eastAsia="仿宋_GB2312"/>
          <w:color w:val="000000"/>
          <w:sz w:val="32"/>
          <w:szCs w:val="32"/>
        </w:rPr>
        <w:t>公务用车运行</w:t>
      </w:r>
      <w:r>
        <w:rPr>
          <w:rFonts w:hint="eastAsia" w:ascii="Times New Roman" w:hAnsi="Times New Roman" w:eastAsia="仿宋_GB2312"/>
          <w:color w:val="000000"/>
          <w:sz w:val="32"/>
          <w:szCs w:val="32"/>
          <w:lang w:val="en-US" w:eastAsia="zh-CN"/>
        </w:rPr>
        <w:t>经</w:t>
      </w:r>
      <w:r>
        <w:rPr>
          <w:rFonts w:ascii="Times New Roman" w:hAnsi="Times New Roman" w:eastAsia="仿宋_GB2312"/>
          <w:color w:val="000000"/>
          <w:sz w:val="32"/>
          <w:szCs w:val="32"/>
        </w:rPr>
        <w:t>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万元，与</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lang w:val="en"/>
        </w:rPr>
        <w:t>年</w:t>
      </w:r>
      <w:r>
        <w:rPr>
          <w:rFonts w:ascii="Times New Roman" w:hAnsi="Times New Roman" w:eastAsia="仿宋_GB2312"/>
          <w:color w:val="000000"/>
          <w:sz w:val="32"/>
          <w:szCs w:val="32"/>
        </w:rPr>
        <w:t>相比持平</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，主要原因是</w:t>
      </w:r>
      <w:r>
        <w:rPr>
          <w:rFonts w:hint="eastAsia" w:ascii="Times New Roman" w:hAnsi="Times New Roman" w:eastAsia="仿宋_GB2312"/>
          <w:color w:val="000000"/>
          <w:sz w:val="32"/>
          <w:szCs w:val="32"/>
          <w:lang w:val="en-US" w:eastAsia="zh-CN"/>
        </w:rPr>
        <w:t>机关派驻的保障用车由机关事务中心进行维护；</w:t>
      </w:r>
      <w:r>
        <w:rPr>
          <w:rFonts w:hint="eastAsia" w:ascii="Times New Roman" w:hAnsi="Times New Roman" w:eastAsia="仿宋_GB2312"/>
          <w:color w:val="000000"/>
          <w:sz w:val="32"/>
          <w:szCs w:val="32"/>
        </w:rPr>
        <w:t>该项经费主要用于各部门公车运行维护等支出。</w:t>
      </w:r>
      <w:r>
        <w:rPr>
          <w:rFonts w:ascii="Times New Roman" w:hAnsi="Times New Roman" w:eastAsia="仿宋_GB2312"/>
          <w:color w:val="000000"/>
          <w:sz w:val="32"/>
          <w:szCs w:val="32"/>
        </w:rPr>
        <w:t>公务用车购置费</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万元，与</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lang w:val="en"/>
        </w:rPr>
        <w:t>年</w:t>
      </w:r>
      <w:r>
        <w:rPr>
          <w:rFonts w:ascii="Times New Roman" w:hAnsi="Times New Roman" w:eastAsia="仿宋_GB2312"/>
          <w:color w:val="000000"/>
          <w:sz w:val="32"/>
          <w:szCs w:val="32"/>
        </w:rPr>
        <w:t>相比持平</w:t>
      </w:r>
      <w:r>
        <w:rPr>
          <w:rFonts w:hint="eastAsia" w:ascii="Times New Roman" w:hAnsi="Times New Roman" w:eastAsia="仿宋_GB2312"/>
          <w:color w:val="000000"/>
          <w:sz w:val="32"/>
          <w:szCs w:val="32"/>
          <w:lang w:val="en-US" w:eastAsia="zh-CN"/>
        </w:rPr>
        <w:t>0</w:t>
      </w:r>
      <w:r>
        <w:rPr>
          <w:rFonts w:ascii="Times New Roman" w:hAnsi="Times New Roman" w:eastAsia="仿宋_GB2312"/>
          <w:color w:val="000000"/>
          <w:sz w:val="32"/>
          <w:szCs w:val="32"/>
        </w:rPr>
        <w:t>，主要原因是</w:t>
      </w:r>
      <w:r>
        <w:rPr>
          <w:rFonts w:hint="eastAsia" w:ascii="Times New Roman" w:hAnsi="Times New Roman" w:eastAsia="仿宋_GB2312"/>
          <w:color w:val="000000"/>
          <w:sz w:val="32"/>
          <w:szCs w:val="32"/>
          <w:lang w:val="en-US" w:eastAsia="zh-CN"/>
        </w:rPr>
        <w:t>派驻保障用车1辆，用于支持保障机关开展业务活动，无购置公车需要；</w:t>
      </w:r>
      <w:r>
        <w:rPr>
          <w:rFonts w:hint="eastAsia" w:ascii="Times New Roman" w:hAnsi="Times New Roman" w:eastAsia="仿宋_GB2312"/>
          <w:color w:val="000000"/>
          <w:sz w:val="32"/>
          <w:szCs w:val="32"/>
        </w:rPr>
        <w:t>该项经费主要用于保障</w:t>
      </w:r>
      <w:r>
        <w:rPr>
          <w:rFonts w:hint="eastAsia" w:ascii="Times New Roman" w:hAnsi="Times New Roman" w:eastAsia="仿宋_GB2312"/>
          <w:color w:val="000000"/>
          <w:sz w:val="32"/>
          <w:szCs w:val="32"/>
          <w:lang w:eastAsia="zh-CN"/>
        </w:rPr>
        <w:t>区</w:t>
      </w:r>
      <w:r>
        <w:rPr>
          <w:rFonts w:hint="eastAsia" w:ascii="Times New Roman" w:hAnsi="Times New Roman" w:eastAsia="仿宋_GB2312"/>
          <w:color w:val="000000"/>
          <w:sz w:val="32"/>
          <w:szCs w:val="32"/>
        </w:rPr>
        <w:t>直部门购置公务用车等开支。</w:t>
      </w:r>
    </w:p>
    <w:p w14:paraId="50A96B0E">
      <w:pPr>
        <w:pStyle w:val="4"/>
        <w:keepNext w:val="0"/>
        <w:keepLines w:val="0"/>
        <w:pageBreakBefore w:val="0"/>
        <w:widowControl w:val="0"/>
        <w:kinsoku/>
        <w:wordWrap/>
        <w:overflowPunct/>
        <w:topLinePunct w:val="0"/>
        <w:autoSpaceDE/>
        <w:autoSpaceDN/>
        <w:bidi w:val="0"/>
        <w:adjustRightInd w:val="0"/>
        <w:snapToGrid w:val="0"/>
        <w:spacing w:before="0" w:beforeAutospacing="0" w:after="0" w:afterAutospacing="0" w:line="576" w:lineRule="exact"/>
        <w:ind w:firstLine="643" w:firstLineChars="200"/>
        <w:jc w:val="both"/>
        <w:textAlignment w:val="auto"/>
        <w:rPr>
          <w:rFonts w:ascii="Times New Roman" w:hAnsi="Times New Roman" w:eastAsia="仿宋_GB2312"/>
          <w:color w:val="000000"/>
          <w:sz w:val="32"/>
          <w:szCs w:val="32"/>
        </w:rPr>
      </w:pPr>
      <w:r>
        <w:rPr>
          <w:rFonts w:ascii="Times New Roman" w:hAnsi="Times New Roman" w:eastAsia="仿宋_GB2312"/>
          <w:b/>
          <w:color w:val="000000"/>
          <w:sz w:val="32"/>
          <w:szCs w:val="32"/>
        </w:rPr>
        <w:t>（三）公务接待费。</w:t>
      </w:r>
      <w:r>
        <w:rPr>
          <w:rFonts w:ascii="Times New Roman" w:hAnsi="Times New Roman" w:eastAsia="仿宋_GB2312"/>
          <w:color w:val="000000"/>
          <w:sz w:val="32"/>
          <w:szCs w:val="32"/>
        </w:rPr>
        <w:t>支出预算</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rPr>
        <w:t>万元，与</w:t>
      </w:r>
      <w:r>
        <w:rPr>
          <w:rFonts w:ascii="Times New Roman" w:hAnsi="Times New Roman" w:eastAsia="仿宋_GB2312"/>
          <w:color w:val="000000"/>
          <w:sz w:val="32"/>
          <w:szCs w:val="32"/>
          <w:lang w:val="en"/>
        </w:rPr>
        <w:t>202</w:t>
      </w:r>
      <w:r>
        <w:rPr>
          <w:rFonts w:hint="eastAsia" w:ascii="Times New Roman" w:hAnsi="Times New Roman" w:eastAsia="仿宋_GB2312"/>
          <w:color w:val="000000"/>
          <w:sz w:val="32"/>
          <w:szCs w:val="32"/>
          <w:lang w:val="en-US" w:eastAsia="zh-CN"/>
        </w:rPr>
        <w:t>5</w:t>
      </w:r>
      <w:r>
        <w:rPr>
          <w:rFonts w:ascii="Times New Roman" w:hAnsi="Times New Roman" w:eastAsia="仿宋_GB2312"/>
          <w:color w:val="000000"/>
          <w:sz w:val="32"/>
          <w:szCs w:val="32"/>
          <w:lang w:val="en"/>
        </w:rPr>
        <w:t>年</w:t>
      </w:r>
      <w:r>
        <w:rPr>
          <w:rFonts w:ascii="Times New Roman" w:hAnsi="Times New Roman" w:eastAsia="仿宋_GB2312"/>
          <w:color w:val="000000"/>
          <w:sz w:val="32"/>
          <w:szCs w:val="32"/>
        </w:rPr>
        <w:t>相比持平，主要原因是</w:t>
      </w:r>
      <w:r>
        <w:rPr>
          <w:rFonts w:hint="eastAsia" w:ascii="Times New Roman" w:hAnsi="Times New Roman" w:eastAsia="仿宋_GB2312"/>
          <w:color w:val="000000"/>
          <w:sz w:val="32"/>
          <w:szCs w:val="32"/>
        </w:rPr>
        <w:t>贯彻落实中央八项规定精神和</w:t>
      </w:r>
      <w:r>
        <w:rPr>
          <w:rFonts w:hint="eastAsia" w:ascii="Times New Roman" w:hAnsi="Times New Roman" w:eastAsia="仿宋_GB2312"/>
          <w:color w:val="000000"/>
          <w:sz w:val="32"/>
          <w:szCs w:val="32"/>
          <w:lang w:eastAsia="zh-CN"/>
        </w:rPr>
        <w:t>区</w:t>
      </w:r>
      <w:r>
        <w:rPr>
          <w:rFonts w:hint="eastAsia" w:ascii="Times New Roman" w:hAnsi="Times New Roman" w:eastAsia="仿宋_GB2312"/>
          <w:color w:val="000000"/>
          <w:sz w:val="32"/>
          <w:szCs w:val="32"/>
        </w:rPr>
        <w:t>委</w:t>
      </w:r>
      <w:r>
        <w:rPr>
          <w:rFonts w:hint="eastAsia" w:ascii="Times New Roman" w:hAnsi="Times New Roman" w:eastAsia="仿宋_GB2312"/>
          <w:color w:val="000000"/>
          <w:sz w:val="32"/>
          <w:szCs w:val="32"/>
          <w:lang w:eastAsia="zh-CN"/>
        </w:rPr>
        <w:t>区</w:t>
      </w:r>
      <w:r>
        <w:rPr>
          <w:rFonts w:hint="eastAsia" w:ascii="Times New Roman" w:hAnsi="Times New Roman" w:eastAsia="仿宋_GB2312"/>
          <w:color w:val="000000"/>
          <w:sz w:val="32"/>
          <w:szCs w:val="32"/>
        </w:rPr>
        <w:t>政府过紧日子要求，严控“三公”经费支出</w:t>
      </w:r>
      <w:r>
        <w:rPr>
          <w:rFonts w:ascii="Times New Roman" w:hAnsi="Times New Roman" w:eastAsia="仿宋_GB2312"/>
          <w:color w:val="000000"/>
          <w:sz w:val="32"/>
          <w:szCs w:val="32"/>
        </w:rPr>
        <w:t>。</w:t>
      </w:r>
      <w:r>
        <w:rPr>
          <w:rFonts w:hint="eastAsia" w:ascii="Times New Roman" w:hAnsi="Times New Roman" w:eastAsia="仿宋_GB2312"/>
          <w:color w:val="000000"/>
          <w:sz w:val="32"/>
          <w:szCs w:val="32"/>
        </w:rPr>
        <w:t>该项经费主要用于保障公务人员出席会议、考察调研、执行任务、检查指导等国内公务活动开支。</w:t>
      </w:r>
      <w:r>
        <w:rPr>
          <w:rFonts w:hint="default" w:ascii="TimesNewRoman" w:hAnsi="TimesNewRoman" w:eastAsia="仿宋_GB2312" w:cs="TimesNewRoman"/>
          <w:sz w:val="32"/>
          <w:szCs w:val="32"/>
        </w:rPr>
        <w:t>经费使用</w:t>
      </w:r>
      <w:r>
        <w:rPr>
          <w:rFonts w:hint="eastAsia" w:ascii="Times New Roman" w:hAnsi="Times New Roman" w:eastAsia="仿宋_GB2312"/>
          <w:color w:val="000000"/>
          <w:sz w:val="32"/>
          <w:szCs w:val="32"/>
        </w:rPr>
        <w:t>贯彻落实中央八项规定精神</w:t>
      </w:r>
      <w:r>
        <w:rPr>
          <w:rFonts w:hint="eastAsia" w:ascii="Times New Roman" w:hAnsi="Times New Roman" w:eastAsia="仿宋_GB2312"/>
          <w:color w:val="000000"/>
          <w:sz w:val="32"/>
          <w:szCs w:val="32"/>
          <w:lang w:eastAsia="zh-CN"/>
        </w:rPr>
        <w:t>，严格执行《党政机关厉行节约反对浪费条例》</w:t>
      </w:r>
      <w:r>
        <w:rPr>
          <w:rFonts w:hint="eastAsia" w:ascii="Times New Roman" w:hAnsi="Times New Roman" w:eastAsia="仿宋_GB2312"/>
          <w:color w:val="000000"/>
          <w:sz w:val="32"/>
          <w:szCs w:val="32"/>
          <w:lang w:val="en-US" w:eastAsia="zh-CN"/>
        </w:rPr>
        <w:t>《六安市财政局 六安市机关事务处关于进一步规范公务活动及相关费用收交管理的工作提示》</w:t>
      </w:r>
      <w:r>
        <w:rPr>
          <w:rFonts w:hint="eastAsia" w:ascii="Times New Roman" w:hAnsi="Times New Roman" w:eastAsia="仿宋_GB2312"/>
          <w:color w:val="000000"/>
          <w:sz w:val="32"/>
          <w:szCs w:val="32"/>
          <w:lang w:eastAsia="zh-CN"/>
        </w:rPr>
        <w:t>《六安市叶集区党政</w:t>
      </w:r>
      <w:r>
        <w:rPr>
          <w:rFonts w:hint="eastAsia" w:ascii="Times New Roman" w:hAnsi="Times New Roman" w:eastAsia="仿宋_GB2312"/>
          <w:color w:val="000000"/>
          <w:sz w:val="32"/>
          <w:szCs w:val="32"/>
        </w:rPr>
        <w:t>机关</w:t>
      </w:r>
      <w:r>
        <w:rPr>
          <w:rFonts w:hint="eastAsia" w:ascii="Times New Roman" w:hAnsi="Times New Roman" w:eastAsia="仿宋_GB2312"/>
          <w:color w:val="000000"/>
          <w:sz w:val="32"/>
          <w:szCs w:val="32"/>
          <w:lang w:eastAsia="zh-CN"/>
        </w:rPr>
        <w:t>国内</w:t>
      </w:r>
      <w:r>
        <w:rPr>
          <w:rFonts w:hint="eastAsia" w:ascii="Times New Roman" w:hAnsi="Times New Roman" w:eastAsia="仿宋_GB2312"/>
          <w:color w:val="000000"/>
          <w:sz w:val="32"/>
          <w:szCs w:val="32"/>
        </w:rPr>
        <w:t>公务接待管理办法</w:t>
      </w:r>
      <w:r>
        <w:rPr>
          <w:rFonts w:hint="eastAsia" w:ascii="Times New Roman" w:hAnsi="Times New Roman" w:eastAsia="仿宋_GB2312"/>
          <w:color w:val="000000"/>
          <w:sz w:val="32"/>
          <w:szCs w:val="32"/>
          <w:lang w:eastAsia="zh-CN"/>
        </w:rPr>
        <w:t>》等相关</w:t>
      </w:r>
      <w:r>
        <w:rPr>
          <w:rFonts w:hint="eastAsia" w:ascii="Times New Roman" w:hAnsi="Times New Roman" w:eastAsia="仿宋_GB2312"/>
          <w:color w:val="000000"/>
          <w:sz w:val="32"/>
          <w:szCs w:val="32"/>
        </w:rPr>
        <w:t>规定</w:t>
      </w:r>
      <w:r>
        <w:rPr>
          <w:rFonts w:hint="default" w:ascii="TimesNewRoman" w:hAnsi="TimesNewRoman" w:eastAsia="仿宋_GB2312" w:cs="TimesNewRoman"/>
          <w:sz w:val="32"/>
          <w:szCs w:val="32"/>
        </w:rPr>
        <w:t>。</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NewRoman">
    <w:altName w:val="Times New Roman"/>
    <w:panose1 w:val="02020603050405020304"/>
    <w:charset w:val="00"/>
    <w:family w:val="auto"/>
    <w:pitch w:val="default"/>
    <w:sig w:usb0="00000000" w:usb1="00000000" w:usb2="00000029" w:usb3="00000000" w:csb0="6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c3MmI5YmIzNDdmNjJmOWJmYzI5OGZhOWRmNjg1YWEifQ=="/>
  </w:docVars>
  <w:rsids>
    <w:rsidRoot w:val="5602701E"/>
    <w:rsid w:val="000830FA"/>
    <w:rsid w:val="001436B3"/>
    <w:rsid w:val="001C216A"/>
    <w:rsid w:val="001C267F"/>
    <w:rsid w:val="00244DAF"/>
    <w:rsid w:val="00343F27"/>
    <w:rsid w:val="00392BC6"/>
    <w:rsid w:val="004F0C25"/>
    <w:rsid w:val="008209DA"/>
    <w:rsid w:val="008C0152"/>
    <w:rsid w:val="0092239C"/>
    <w:rsid w:val="00957561"/>
    <w:rsid w:val="009B04CA"/>
    <w:rsid w:val="00A33012"/>
    <w:rsid w:val="00A95D67"/>
    <w:rsid w:val="00AE1378"/>
    <w:rsid w:val="00B95EE1"/>
    <w:rsid w:val="00C213DE"/>
    <w:rsid w:val="00C2545E"/>
    <w:rsid w:val="00C30D09"/>
    <w:rsid w:val="00CF45A4"/>
    <w:rsid w:val="00E21DA0"/>
    <w:rsid w:val="00EF6964"/>
    <w:rsid w:val="00FA1828"/>
    <w:rsid w:val="011D0213"/>
    <w:rsid w:val="03005868"/>
    <w:rsid w:val="126B06C9"/>
    <w:rsid w:val="157E5F01"/>
    <w:rsid w:val="1D1F4756"/>
    <w:rsid w:val="2012073C"/>
    <w:rsid w:val="32FD73FC"/>
    <w:rsid w:val="33CC0F9E"/>
    <w:rsid w:val="39CB6F83"/>
    <w:rsid w:val="3C224F51"/>
    <w:rsid w:val="43587225"/>
    <w:rsid w:val="439E6736"/>
    <w:rsid w:val="4783216D"/>
    <w:rsid w:val="4FC66B1A"/>
    <w:rsid w:val="54672089"/>
    <w:rsid w:val="5602701E"/>
    <w:rsid w:val="63757B06"/>
    <w:rsid w:val="641B3B9F"/>
    <w:rsid w:val="73876D69"/>
    <w:rsid w:val="738F2274"/>
    <w:rsid w:val="78F8268E"/>
    <w:rsid w:val="7D86481E"/>
    <w:rsid w:val="FF76D02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Calibri"/>
      <w:kern w:val="2"/>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7">
    <w:name w:val="页脚 字符"/>
    <w:link w:val="2"/>
    <w:semiHidden/>
    <w:qFormat/>
    <w:locked/>
    <w:uiPriority w:val="99"/>
    <w:rPr>
      <w:sz w:val="18"/>
      <w:szCs w:val="18"/>
    </w:rPr>
  </w:style>
  <w:style w:type="character" w:customStyle="1" w:styleId="8">
    <w:name w:val="页眉 字符"/>
    <w:link w:val="3"/>
    <w:semiHidden/>
    <w:qFormat/>
    <w:locked/>
    <w:uiPriority w:val="99"/>
    <w:rPr>
      <w:sz w:val="18"/>
      <w:szCs w:val="18"/>
    </w:rPr>
  </w:style>
  <w:style w:type="paragraph" w:customStyle="1" w:styleId="9">
    <w:name w:val="Default"/>
    <w:qFormat/>
    <w:uiPriority w:val="99"/>
    <w:pPr>
      <w:widowControl w:val="0"/>
      <w:autoSpaceDE w:val="0"/>
      <w:autoSpaceDN w:val="0"/>
      <w:adjustRightInd w:val="0"/>
      <w:spacing w:after="160" w:line="278" w:lineRule="auto"/>
    </w:pPr>
    <w:rPr>
      <w:rFonts w:ascii="仿宋_GB2312" w:hAnsi="Calibri" w:eastAsia="仿宋_GB2312" w:cs="仿宋_GB2312"/>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czj</Company>
  <Pages>2</Pages>
  <Words>807</Words>
  <Characters>831</Characters>
  <Lines>6</Lines>
  <Paragraphs>1</Paragraphs>
  <TotalTime>0</TotalTime>
  <ScaleCrop>false</ScaleCrop>
  <LinksUpToDate>false</LinksUpToDate>
  <CharactersWithSpaces>832</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2019-01-17T15:55:00Z</dcterms:created>
  <dc:creator>文静</dc:creator>
  <cp:lastModifiedBy>王某</cp:lastModifiedBy>
  <cp:lastPrinted>2019-01-18T11:42:00Z</cp:lastPrinted>
  <dcterms:modified xsi:type="dcterms:W3CDTF">2026-02-06T03:44:38Z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631E1B6BE0A34E60895EEC9ECD9C2447_13</vt:lpwstr>
  </property>
  <property fmtid="{D5CDD505-2E9C-101B-9397-08002B2CF9AE}" pid="4" name="KSOTemplateDocerSaveRecord">
    <vt:lpwstr>eyJoZGlkIjoiZmQzZWM5MWZkZWNiMTA0Mzk2ODY5NjRjZWM3MWRjMzAiLCJ1c2VySWQiOiIyMzY5Mzk3NDUifQ==</vt:lpwstr>
  </property>
</Properties>
</file>