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9</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关于《六安市叶集区田清生态农业科技有限公司蚯蚓养殖</w:t>
      </w:r>
      <w:r>
        <w:rPr>
          <w:rFonts w:hint="eastAsia" w:ascii="方正小标宋简体" w:hAnsi="方正小标宋简体" w:eastAsia="方正小标宋简体" w:cs="方正小标宋简体"/>
          <w:w w:val="100"/>
          <w:sz w:val="44"/>
          <w:szCs w:val="44"/>
          <w:lang w:eastAsia="zh-CN"/>
        </w:rPr>
        <w:br w:type="textWrapping"/>
      </w:r>
      <w:r>
        <w:rPr>
          <w:rFonts w:hint="eastAsia" w:ascii="方正小标宋简体" w:hAnsi="方正小标宋简体" w:eastAsia="方正小标宋简体" w:cs="方正小标宋简体"/>
          <w:w w:val="100"/>
          <w:sz w:val="44"/>
          <w:szCs w:val="44"/>
          <w:lang w:eastAsia="zh-CN"/>
        </w:rPr>
        <w:t>项目</w:t>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76"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六安市叶集区田清生态农业科技有限公司：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报送的《六安市叶集区田清生态农业科技有限公司蚯蚓养殖项目环境影响报告表》收悉（以下简称《报告表》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2503-341504-04-05-780238</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项目租赁六安市叶集区三元镇沣桥村股份经济合作社设施农用地及商务服务用地，</w:t>
      </w:r>
      <w:r>
        <w:rPr>
          <w:rFonts w:hint="eastAsia" w:ascii="仿宋_GB2312" w:hAnsi="仿宋_GB2312" w:eastAsia="仿宋_GB2312" w:cs="仿宋_GB2312"/>
          <w:color w:val="auto"/>
          <w:w w:val="100"/>
          <w:sz w:val="32"/>
          <w:szCs w:val="32"/>
          <w:lang w:val="en-US" w:eastAsia="zh-CN"/>
        </w:rPr>
        <w:t>项目规划占地面积</w:t>
      </w:r>
      <w:r>
        <w:rPr>
          <w:rFonts w:hint="default" w:ascii="Times New Roman" w:hAnsi="Times New Roman" w:eastAsia="仿宋_GB2312" w:cs="Times New Roman"/>
          <w:color w:val="auto"/>
          <w:w w:val="100"/>
          <w:sz w:val="32"/>
          <w:szCs w:val="32"/>
          <w:lang w:val="en-US" w:eastAsia="zh-CN"/>
        </w:rPr>
        <w:t>4046.9m</w:t>
      </w:r>
      <w:r>
        <w:rPr>
          <w:rFonts w:hint="default" w:ascii="Times New Roman" w:hAnsi="Times New Roman" w:eastAsia="仿宋_GB2312" w:cs="Times New Roman"/>
          <w:color w:val="auto"/>
          <w:w w:val="100"/>
          <w:sz w:val="32"/>
          <w:szCs w:val="32"/>
          <w:vertAlign w:val="superscript"/>
          <w:lang w:val="en-US" w:eastAsia="zh-CN"/>
        </w:rPr>
        <w:t>2</w:t>
      </w:r>
      <w:r>
        <w:rPr>
          <w:rFonts w:hint="eastAsia" w:ascii="仿宋_GB2312" w:hAnsi="仿宋_GB2312" w:eastAsia="仿宋_GB2312" w:cs="仿宋_GB2312"/>
          <w:color w:val="auto"/>
          <w:w w:val="100"/>
          <w:sz w:val="32"/>
          <w:szCs w:val="32"/>
          <w:lang w:val="en-US" w:eastAsia="zh-CN"/>
        </w:rPr>
        <w:t>，其中地块一面积为</w:t>
      </w:r>
      <w:r>
        <w:rPr>
          <w:rFonts w:hint="default" w:ascii="Times New Roman" w:hAnsi="Times New Roman" w:eastAsia="仿宋_GB2312" w:cs="Times New Roman"/>
          <w:color w:val="auto"/>
          <w:w w:val="100"/>
          <w:sz w:val="32"/>
          <w:szCs w:val="32"/>
          <w:lang w:val="en-US" w:eastAsia="zh-CN"/>
        </w:rPr>
        <w:t>712.2m</w:t>
      </w:r>
      <w:r>
        <w:rPr>
          <w:rFonts w:hint="default" w:ascii="Times New Roman" w:hAnsi="Times New Roman" w:eastAsia="仿宋_GB2312" w:cs="Times New Roman"/>
          <w:color w:val="auto"/>
          <w:w w:val="100"/>
          <w:sz w:val="32"/>
          <w:szCs w:val="32"/>
          <w:vertAlign w:val="superscript"/>
          <w:lang w:val="en-US" w:eastAsia="zh-CN"/>
        </w:rPr>
        <w:t>2</w:t>
      </w:r>
      <w:r>
        <w:rPr>
          <w:rFonts w:hint="eastAsia" w:ascii="仿宋_GB2312" w:hAnsi="仿宋_GB2312" w:eastAsia="仿宋_GB2312" w:cs="仿宋_GB2312"/>
          <w:color w:val="auto"/>
          <w:w w:val="100"/>
          <w:sz w:val="32"/>
          <w:szCs w:val="32"/>
          <w:lang w:val="en-US" w:eastAsia="zh-CN"/>
        </w:rPr>
        <w:t>，主要建设原料暂存间；地块二面积为</w:t>
      </w:r>
      <w:r>
        <w:rPr>
          <w:rFonts w:hint="default" w:ascii="Times New Roman" w:hAnsi="Times New Roman" w:eastAsia="仿宋_GB2312" w:cs="Times New Roman"/>
          <w:color w:val="auto"/>
          <w:w w:val="100"/>
          <w:sz w:val="32"/>
          <w:szCs w:val="32"/>
          <w:lang w:val="en-US" w:eastAsia="zh-CN"/>
        </w:rPr>
        <w:t>3334.7m</w:t>
      </w:r>
      <w:r>
        <w:rPr>
          <w:rFonts w:hint="default" w:ascii="Times New Roman" w:hAnsi="Times New Roman" w:eastAsia="仿宋_GB2312" w:cs="Times New Roman"/>
          <w:color w:val="auto"/>
          <w:w w:val="100"/>
          <w:sz w:val="32"/>
          <w:szCs w:val="32"/>
          <w:vertAlign w:val="superscript"/>
          <w:lang w:val="en-US" w:eastAsia="zh-CN"/>
        </w:rPr>
        <w:t>2</w:t>
      </w:r>
      <w:r>
        <w:rPr>
          <w:rFonts w:hint="eastAsia" w:ascii="仿宋_GB2312" w:hAnsi="仿宋_GB2312" w:eastAsia="仿宋_GB2312" w:cs="仿宋_GB2312"/>
          <w:color w:val="auto"/>
          <w:w w:val="100"/>
          <w:sz w:val="32"/>
          <w:szCs w:val="32"/>
          <w:lang w:val="en-US" w:eastAsia="zh-CN"/>
        </w:rPr>
        <w:t>，主要建设污泥发酵间、蚯蚓养殖间、成品间、办公室。项目拟购置铲车、上料机、筛选机、破碎机、包装机、蚯蚓床等设备并配套环保设备等，建成后可年产</w:t>
      </w:r>
      <w:r>
        <w:rPr>
          <w:rFonts w:hint="eastAsia" w:ascii="Times New Roman" w:hAnsi="Times New Roman" w:eastAsia="仿宋_GB2312" w:cs="Times New Roman"/>
          <w:color w:val="auto"/>
          <w:w w:val="100"/>
          <w:sz w:val="32"/>
          <w:szCs w:val="32"/>
          <w:lang w:val="en-US" w:eastAsia="zh-CN"/>
        </w:rPr>
        <w:t>3000吨</w:t>
      </w:r>
      <w:r>
        <w:rPr>
          <w:rFonts w:hint="eastAsia" w:ascii="仿宋_GB2312" w:hAnsi="仿宋_GB2312" w:eastAsia="仿宋_GB2312" w:cs="仿宋_GB2312"/>
          <w:color w:val="auto"/>
          <w:w w:val="100"/>
          <w:sz w:val="32"/>
          <w:szCs w:val="32"/>
          <w:lang w:val="en-US" w:eastAsia="zh-CN"/>
        </w:rPr>
        <w:t>蚯蚓</w:t>
      </w:r>
      <w:r>
        <w:rPr>
          <w:rFonts w:hint="eastAsia" w:ascii="Times New Roman" w:hAnsi="Times New Roman" w:eastAsia="仿宋_GB2312" w:cs="Times New Roman"/>
          <w:color w:val="auto"/>
          <w:w w:val="100"/>
          <w:sz w:val="32"/>
          <w:szCs w:val="32"/>
          <w:lang w:val="en-US" w:eastAsia="zh-CN"/>
        </w:rPr>
        <w:t>、60000吨</w:t>
      </w:r>
      <w:r>
        <w:rPr>
          <w:rFonts w:hint="eastAsia" w:ascii="仿宋_GB2312" w:hAnsi="仿宋_GB2312" w:eastAsia="仿宋_GB2312" w:cs="仿宋_GB2312"/>
          <w:color w:val="auto"/>
          <w:w w:val="100"/>
          <w:sz w:val="32"/>
          <w:szCs w:val="32"/>
          <w:lang w:val="en-US" w:eastAsia="zh-CN"/>
        </w:rPr>
        <w:t>营养土</w:t>
      </w:r>
      <w:r>
        <w:rPr>
          <w:rFonts w:hint="eastAsia" w:ascii="仿宋_GB2312" w:hAnsi="仿宋_GB2312" w:eastAsia="仿宋_GB2312" w:cs="仿宋_GB2312"/>
          <w:color w:val="auto"/>
          <w:w w:val="100"/>
          <w:sz w:val="32"/>
          <w:szCs w:val="32"/>
          <w:lang w:eastAsia="zh-CN"/>
        </w:rPr>
        <w:t>。项目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auto"/>
          <w:w w:val="100"/>
          <w:sz w:val="32"/>
          <w:szCs w:val="32"/>
          <w:lang w:val="en-US" w:eastAsia="zh-CN"/>
        </w:rPr>
        <w:t>210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97</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39B01049">
      <w:pPr>
        <w:keepNext w:val="0"/>
        <w:keepLines w:val="0"/>
        <w:pageBreakBefore w:val="0"/>
        <w:widowControl w:val="0"/>
        <w:kinsoku/>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落实项目内部废水处置措施。项目生活污水经化粪池处理后，定期清掏用作农家肥不外排；发酵渗滤液、除臭塔废水经收集后，回用于蚯蚓养殖不外排。</w:t>
      </w:r>
    </w:p>
    <w:p w14:paraId="6B04A567">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严格落实《报告表》中提出的废气防治方案。原料暂存位于封闭车间，恶臭气体经负压收集后进入生物除臭装置</w:t>
      </w:r>
      <w:r>
        <w:rPr>
          <w:rFonts w:hint="default" w:ascii="Times New Roman" w:hAnsi="Times New Roman" w:eastAsia="仿宋_GB2312" w:cs="Times New Roman"/>
          <w:sz w:val="32"/>
          <w:szCs w:val="32"/>
          <w:lang w:val="en-US" w:eastAsia="zh-CN"/>
        </w:rPr>
        <w:t>（TA001）</w:t>
      </w:r>
      <w:r>
        <w:rPr>
          <w:rFonts w:hint="eastAsia" w:ascii="仿宋_GB2312" w:hAnsi="仿宋_GB2312" w:eastAsia="仿宋_GB2312" w:cs="仿宋_GB2312"/>
          <w:sz w:val="32"/>
          <w:szCs w:val="32"/>
          <w:lang w:val="en-US" w:eastAsia="zh-CN"/>
        </w:rPr>
        <w:t>处理后，通过</w:t>
      </w:r>
      <w:r>
        <w:rPr>
          <w:rFonts w:hint="eastAsia" w:ascii="Times New Roman" w:hAnsi="Times New Roman" w:eastAsia="仿宋_GB2312" w:cs="Times New Roman"/>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sz w:val="32"/>
          <w:szCs w:val="32"/>
          <w:lang w:val="en-US" w:eastAsia="zh-CN"/>
        </w:rPr>
        <w:t>DA001</w:t>
      </w:r>
      <w:r>
        <w:rPr>
          <w:rFonts w:hint="eastAsia" w:ascii="仿宋_GB2312" w:hAnsi="仿宋_GB2312" w:eastAsia="仿宋_GB2312" w:cs="仿宋_GB2312"/>
          <w:sz w:val="32"/>
          <w:szCs w:val="32"/>
          <w:lang w:val="en-US" w:eastAsia="zh-CN"/>
        </w:rPr>
        <w:t>）排放；</w:t>
      </w:r>
      <w:r>
        <w:rPr>
          <w:rFonts w:hint="default" w:ascii="Times New Roman" w:hAnsi="Times New Roman" w:eastAsia="仿宋_GB2312" w:cs="Times New Roman"/>
          <w:color w:val="auto"/>
          <w:kern w:val="2"/>
          <w:sz w:val="32"/>
          <w:szCs w:val="32"/>
          <w:lang w:val="en-US" w:eastAsia="zh-CN" w:bidi="ar-SA"/>
        </w:rPr>
        <w:t>污泥发酵间</w:t>
      </w:r>
      <w:r>
        <w:rPr>
          <w:rFonts w:hint="eastAsia" w:ascii="Times New Roman" w:hAnsi="Times New Roman" w:eastAsia="仿宋_GB2312" w:cs="Times New Roman"/>
          <w:color w:val="auto"/>
          <w:kern w:val="2"/>
          <w:sz w:val="32"/>
          <w:szCs w:val="32"/>
          <w:lang w:val="en-US" w:eastAsia="zh-CN" w:bidi="ar-SA"/>
        </w:rPr>
        <w:t>及蚯蚓养殖间</w:t>
      </w:r>
      <w:r>
        <w:rPr>
          <w:rFonts w:hint="default" w:ascii="Times New Roman" w:hAnsi="Times New Roman" w:eastAsia="仿宋_GB2312" w:cs="Times New Roman"/>
          <w:color w:val="auto"/>
          <w:kern w:val="2"/>
          <w:sz w:val="32"/>
          <w:szCs w:val="32"/>
          <w:lang w:val="en-US" w:eastAsia="zh-CN" w:bidi="ar-SA"/>
        </w:rPr>
        <w:t>整体密闭，</w:t>
      </w:r>
      <w:r>
        <w:rPr>
          <w:rFonts w:hint="eastAsia" w:ascii="Times New Roman" w:hAnsi="Times New Roman" w:eastAsia="仿宋_GB2312" w:cs="Times New Roman"/>
          <w:color w:val="auto"/>
          <w:kern w:val="2"/>
          <w:sz w:val="32"/>
          <w:szCs w:val="32"/>
          <w:lang w:val="en-US" w:eastAsia="zh-CN" w:bidi="ar-SA"/>
        </w:rPr>
        <w:t>恶臭废气经负压收集后合并进入1套生物除臭装置（TA002）处理后，</w:t>
      </w:r>
      <w:r>
        <w:rPr>
          <w:rFonts w:hint="eastAsia" w:ascii="仿宋_GB2312" w:hAnsi="仿宋_GB2312" w:eastAsia="仿宋_GB2312" w:cs="仿宋_GB2312"/>
          <w:sz w:val="32"/>
          <w:szCs w:val="32"/>
          <w:lang w:val="en-US" w:eastAsia="zh-CN"/>
        </w:rPr>
        <w:t>通过</w:t>
      </w:r>
      <w:r>
        <w:rPr>
          <w:rFonts w:hint="eastAsia" w:ascii="Times New Roman" w:hAnsi="Times New Roman" w:eastAsia="仿宋_GB2312" w:cs="Times New Roman"/>
          <w:color w:val="auto"/>
          <w:kern w:val="2"/>
          <w:sz w:val="32"/>
          <w:szCs w:val="32"/>
          <w:lang w:val="en-US" w:eastAsia="zh-CN" w:bidi="ar-SA"/>
        </w:rPr>
        <w:t>15m高排气筒（DA002）排放</w:t>
      </w:r>
      <w:r>
        <w:rPr>
          <w:rFonts w:hint="eastAsia" w:ascii="仿宋_GB2312" w:hAnsi="仿宋_GB2312" w:eastAsia="仿宋_GB2312" w:cs="仿宋_GB2312"/>
          <w:sz w:val="32"/>
          <w:szCs w:val="32"/>
          <w:lang w:val="en-US" w:eastAsia="zh-CN"/>
        </w:rPr>
        <w:t>。生产车间合理布局，采用专用封闭运输车辆运输污泥及粪便，定期</w:t>
      </w:r>
      <w:bookmarkStart w:id="0" w:name="_GoBack"/>
      <w:bookmarkEnd w:id="0"/>
      <w:r>
        <w:rPr>
          <w:rFonts w:hint="eastAsia" w:ascii="仿宋_GB2312" w:hAnsi="仿宋_GB2312" w:eastAsia="仿宋_GB2312" w:cs="仿宋_GB2312"/>
          <w:sz w:val="32"/>
          <w:szCs w:val="32"/>
          <w:lang w:val="en-US" w:eastAsia="zh-CN"/>
        </w:rPr>
        <w:t>喷洒生物除臭剂，减少恶臭气体影响。</w:t>
      </w:r>
    </w:p>
    <w:p w14:paraId="6EB9597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项目运营期有组织废气氨、硫化氢、臭气浓度污染物排放执行《恶臭污染物排放标准》（</w:t>
      </w:r>
      <w:r>
        <w:rPr>
          <w:rFonts w:hint="default" w:ascii="Times New Roman" w:hAnsi="Times New Roman" w:eastAsia="仿宋_GB2312" w:cs="Times New Roman"/>
          <w:color w:val="auto"/>
          <w:kern w:val="2"/>
          <w:sz w:val="32"/>
          <w:szCs w:val="32"/>
          <w:highlight w:val="none"/>
          <w:lang w:val="en-US" w:eastAsia="zh-CN" w:bidi="ar-SA"/>
        </w:rPr>
        <w:t>GB14554-93</w:t>
      </w:r>
      <w:r>
        <w:rPr>
          <w:rFonts w:hint="eastAsia" w:ascii="仿宋_GB2312" w:hAnsi="仿宋_GB2312" w:eastAsia="仿宋_GB2312" w:cs="仿宋_GB2312"/>
          <w:color w:val="auto"/>
          <w:kern w:val="2"/>
          <w:sz w:val="32"/>
          <w:szCs w:val="32"/>
          <w:highlight w:val="none"/>
          <w:lang w:val="en-US" w:eastAsia="zh-CN" w:bidi="ar-SA"/>
        </w:rPr>
        <w:t>）表</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中标准；厂界</w:t>
      </w:r>
      <w:r>
        <w:rPr>
          <w:rFonts w:hint="eastAsia" w:ascii="仿宋_GB2312" w:hAnsi="仿宋_GB2312" w:eastAsia="仿宋_GB2312" w:cs="仿宋_GB2312"/>
          <w:sz w:val="32"/>
          <w:szCs w:val="32"/>
          <w:highlight w:val="none"/>
          <w:lang w:val="en-US" w:eastAsia="zh-CN"/>
        </w:rPr>
        <w:t>无组织</w:t>
      </w:r>
      <w:r>
        <w:rPr>
          <w:rFonts w:hint="eastAsia" w:ascii="仿宋_GB2312" w:hAnsi="仿宋_GB2312" w:eastAsia="仿宋_GB2312" w:cs="仿宋_GB2312"/>
          <w:color w:val="auto"/>
          <w:kern w:val="2"/>
          <w:sz w:val="32"/>
          <w:szCs w:val="32"/>
          <w:highlight w:val="none"/>
          <w:lang w:val="en-US" w:eastAsia="zh-CN" w:bidi="ar-SA"/>
        </w:rPr>
        <w:t>废气氨、硫化氢、臭气浓度排放执行《恶臭污染物排放标准》（</w:t>
      </w:r>
      <w:r>
        <w:rPr>
          <w:rFonts w:hint="default" w:ascii="Times New Roman" w:hAnsi="Times New Roman" w:eastAsia="仿宋_GB2312" w:cs="Times New Roman"/>
          <w:color w:val="auto"/>
          <w:kern w:val="2"/>
          <w:sz w:val="32"/>
          <w:szCs w:val="32"/>
          <w:highlight w:val="none"/>
          <w:lang w:val="en-US" w:eastAsia="zh-CN" w:bidi="ar-SA"/>
        </w:rPr>
        <w:t>GB14554-93</w:t>
      </w:r>
      <w:r>
        <w:rPr>
          <w:rFonts w:hint="eastAsia" w:ascii="仿宋_GB2312" w:hAnsi="仿宋_GB2312" w:eastAsia="仿宋_GB2312" w:cs="仿宋_GB2312"/>
          <w:color w:val="auto"/>
          <w:kern w:val="2"/>
          <w:sz w:val="32"/>
          <w:szCs w:val="32"/>
          <w:highlight w:val="none"/>
          <w:lang w:val="en-US" w:eastAsia="zh-CN" w:bidi="ar-SA"/>
        </w:rPr>
        <w:t>）表</w:t>
      </w: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中二级标准；厂界</w:t>
      </w:r>
      <w:r>
        <w:rPr>
          <w:rFonts w:hint="eastAsia" w:ascii="仿宋_GB2312" w:hAnsi="仿宋_GB2312" w:eastAsia="仿宋_GB2312" w:cs="仿宋_GB2312"/>
          <w:sz w:val="32"/>
          <w:szCs w:val="32"/>
          <w:highlight w:val="none"/>
          <w:lang w:val="en-US" w:eastAsia="zh-CN"/>
        </w:rPr>
        <w:t>无组织</w:t>
      </w:r>
      <w:r>
        <w:rPr>
          <w:rFonts w:hint="eastAsia" w:ascii="仿宋_GB2312" w:hAnsi="仿宋_GB2312" w:eastAsia="仿宋_GB2312" w:cs="仿宋_GB2312"/>
          <w:color w:val="auto"/>
          <w:kern w:val="2"/>
          <w:sz w:val="32"/>
          <w:szCs w:val="32"/>
          <w:highlight w:val="none"/>
          <w:lang w:val="en-US" w:eastAsia="zh-CN" w:bidi="ar-SA"/>
        </w:rPr>
        <w:t>颗粒物排放执行《大气污染物综合排放标准》（</w:t>
      </w:r>
      <w:r>
        <w:rPr>
          <w:rFonts w:hint="eastAsia" w:ascii="Times New Roman" w:hAnsi="Times New Roman" w:eastAsia="仿宋_GB2312" w:cs="Times New Roman"/>
          <w:color w:val="auto"/>
          <w:kern w:val="2"/>
          <w:sz w:val="32"/>
          <w:szCs w:val="32"/>
          <w:highlight w:val="none"/>
          <w:lang w:val="en-US" w:eastAsia="zh-CN" w:bidi="ar-SA"/>
        </w:rPr>
        <w:t>GB16297-1996</w:t>
      </w:r>
      <w:r>
        <w:rPr>
          <w:rFonts w:hint="eastAsia" w:ascii="仿宋_GB2312" w:hAnsi="仿宋_GB2312" w:eastAsia="仿宋_GB2312" w:cs="仿宋_GB2312"/>
          <w:color w:val="auto"/>
          <w:kern w:val="2"/>
          <w:sz w:val="32"/>
          <w:szCs w:val="32"/>
          <w:highlight w:val="none"/>
          <w:lang w:val="en-US" w:eastAsia="zh-CN" w:bidi="ar-SA"/>
        </w:rPr>
        <w:t>）表</w:t>
      </w: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中</w:t>
      </w:r>
      <w:r>
        <w:rPr>
          <w:rFonts w:hint="eastAsia" w:ascii="仿宋_GB2312" w:hAnsi="仿宋_GB2312" w:eastAsia="仿宋_GB2312" w:cs="仿宋_GB2312"/>
          <w:color w:val="auto"/>
          <w:sz w:val="32"/>
          <w:szCs w:val="32"/>
          <w:highlight w:val="none"/>
          <w:lang w:val="en-US" w:eastAsia="zh-CN"/>
        </w:rPr>
        <w:t>无组织排放监控浓度限值。</w:t>
      </w:r>
    </w:p>
    <w:p w14:paraId="0811606E">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包装袋等一般工业固体废物分类收集后暂存于一般工业固废暂存区，外售综合利用或厂家回收。本项目不得使用工业污水处理厂污泥，跨行政区域接收污泥需自行报备并办理污染物转移联单，污泥在使用前，需要对其成分进行检测分析，根据项目污泥利用路线及最终用途，项目使用的污泥处置厂污泥、生活污水处理厂污泥应执行《污水处理厂污泥处置 农用泥质》</w:t>
      </w:r>
      <w:r>
        <w:rPr>
          <w:rFonts w:hint="default" w:ascii="Times New Roman" w:hAnsi="Times New Roman" w:eastAsia="仿宋_GB2312" w:cs="Times New Roman"/>
          <w:sz w:val="32"/>
          <w:szCs w:val="32"/>
          <w:lang w:val="en-US" w:eastAsia="zh-CN"/>
        </w:rPr>
        <w:t>（CJ/T309-2009）</w:t>
      </w:r>
      <w:r>
        <w:rPr>
          <w:rFonts w:hint="eastAsia" w:ascii="仿宋_GB2312" w:hAnsi="仿宋_GB2312" w:eastAsia="仿宋_GB2312" w:cs="仿宋_GB2312"/>
          <w:sz w:val="32"/>
          <w:szCs w:val="32"/>
          <w:lang w:val="en-US" w:eastAsia="zh-CN"/>
        </w:rPr>
        <w:t>中污泥泥质标准。</w:t>
      </w:r>
    </w:p>
    <w:p w14:paraId="7E78875D">
      <w:pPr>
        <w:pStyle w:val="1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落实《报告表》中提出的土壤、地下水防治措施，落实分区防渗要求和环境风险防范措施。</w:t>
      </w:r>
      <w:r>
        <w:rPr>
          <w:rFonts w:hint="eastAsia" w:ascii="仿宋_GB2312" w:hAnsi="仿宋_GB2312" w:eastAsia="仿宋_GB2312" w:cs="仿宋_GB2312"/>
          <w:sz w:val="32"/>
          <w:szCs w:val="32"/>
        </w:rPr>
        <w:t>渗滤液导流沟及收集池、</w:t>
      </w:r>
      <w:r>
        <w:rPr>
          <w:rFonts w:hint="eastAsia" w:ascii="仿宋_GB2312" w:hAnsi="仿宋_GB2312" w:eastAsia="仿宋_GB2312" w:cs="仿宋_GB2312"/>
          <w:sz w:val="32"/>
          <w:szCs w:val="32"/>
          <w:lang w:val="en-US" w:eastAsia="zh-CN"/>
        </w:rPr>
        <w:t>原料</w:t>
      </w:r>
      <w:r>
        <w:rPr>
          <w:rFonts w:hint="eastAsia" w:ascii="仿宋_GB2312" w:hAnsi="仿宋_GB2312" w:eastAsia="仿宋_GB2312" w:cs="仿宋_GB2312"/>
          <w:sz w:val="32"/>
          <w:szCs w:val="32"/>
        </w:rPr>
        <w:t>暂存间、污泥发酵间等区域要采取重点防渗措施，并加强巡视，确保防渗措施正常无破损。</w:t>
      </w:r>
    </w:p>
    <w:p w14:paraId="76C8E441">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28B4515A">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sz w:val="32"/>
          <w:szCs w:val="32"/>
          <w:lang w:val="en-US" w:eastAsia="zh-CN"/>
        </w:rPr>
      </w:pPr>
    </w:p>
    <w:p w14:paraId="7799C3C5">
      <w:pPr>
        <w:pStyle w:val="5"/>
        <w:rPr>
          <w:rFonts w:hint="eastAsia"/>
          <w:lang w:val="en-US" w:eastAsia="zh-CN"/>
        </w:rPr>
      </w:pPr>
    </w:p>
    <w:p w14:paraId="33557738">
      <w:pPr>
        <w:keepNext w:val="0"/>
        <w:keepLines w:val="0"/>
        <w:pageBreakBefore w:val="0"/>
        <w:kinsoku/>
        <w:overflowPunct/>
        <w:topLinePunct w:val="0"/>
        <w:autoSpaceDE/>
        <w:autoSpaceDN/>
        <w:bidi w:val="0"/>
        <w:spacing w:line="576"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kinsoku/>
        <w:overflowPunct/>
        <w:topLinePunct w:val="0"/>
        <w:autoSpaceDE/>
        <w:autoSpaceDN/>
        <w:bidi w:val="0"/>
        <w:spacing w:line="576"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000000"/>
          <w:w w:val="100"/>
          <w:sz w:val="32"/>
          <w:szCs w:val="32"/>
          <w:lang w:val="en-US" w:eastAsia="zh-CN"/>
        </w:rPr>
        <w:t>7</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14</w:t>
      </w:r>
      <w:r>
        <w:rPr>
          <w:rFonts w:hint="eastAsia" w:ascii="仿宋_GB2312" w:hAnsi="仿宋_GB2312" w:eastAsia="仿宋_GB2312" w:cs="仿宋_GB2312"/>
          <w:sz w:val="32"/>
          <w:szCs w:val="32"/>
          <w:lang w:val="en-US" w:eastAsia="zh-CN"/>
        </w:rPr>
        <w:t>日</w:t>
      </w:r>
    </w:p>
    <w:p w14:paraId="52A589BB">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3A4648FC">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77DA39D5">
      <w:pPr>
        <w:rPr>
          <w:rFonts w:hint="eastAsia"/>
          <w:lang w:val="en-US" w:eastAsia="zh-CN"/>
        </w:rPr>
      </w:pPr>
    </w:p>
    <w:p w14:paraId="2A5362C6">
      <w:pPr>
        <w:rPr>
          <w:rFonts w:hint="eastAsia"/>
          <w:lang w:val="en-US" w:eastAsia="zh-CN"/>
        </w:rPr>
      </w:pPr>
    </w:p>
    <w:p w14:paraId="0B876293">
      <w:pPr>
        <w:rPr>
          <w:rFonts w:hint="eastAsia"/>
          <w:lang w:val="en-US" w:eastAsia="zh-CN"/>
        </w:rPr>
      </w:pPr>
    </w:p>
    <w:p w14:paraId="05AB06A0">
      <w:pPr>
        <w:pStyle w:val="5"/>
        <w:ind w:left="0" w:leftChars="0" w:firstLine="0" w:firstLineChars="0"/>
        <w:rPr>
          <w:rFonts w:hint="eastAsia"/>
          <w:lang w:val="en-US" w:eastAsia="zh-CN"/>
        </w:rPr>
      </w:pPr>
    </w:p>
    <w:p w14:paraId="387DF58F">
      <w:pPr>
        <w:rPr>
          <w:rFonts w:hint="eastAsia"/>
          <w:lang w:val="en-US" w:eastAsia="zh-CN"/>
        </w:rPr>
      </w:pPr>
    </w:p>
    <w:p w14:paraId="0EEA31B5">
      <w:pPr>
        <w:rPr>
          <w:rFonts w:hint="eastAsia"/>
          <w:lang w:val="en-US" w:eastAsia="zh-CN"/>
        </w:rPr>
      </w:pPr>
    </w:p>
    <w:p w14:paraId="5E4C8DC7">
      <w:pPr>
        <w:rPr>
          <w:rFonts w:hint="eastAsia"/>
          <w:lang w:val="en-US" w:eastAsia="zh-CN"/>
        </w:rPr>
      </w:pPr>
    </w:p>
    <w:p w14:paraId="35467819">
      <w:pPr>
        <w:pStyle w:val="2"/>
        <w:rPr>
          <w:rFonts w:hint="eastAsia"/>
          <w:lang w:val="en-US" w:eastAsia="zh-CN"/>
        </w:rPr>
      </w:pPr>
    </w:p>
    <w:p w14:paraId="293145F9">
      <w:pPr>
        <w:rPr>
          <w:rFonts w:hint="eastAsia"/>
          <w:lang w:val="en-US" w:eastAsia="zh-CN"/>
        </w:rPr>
      </w:pPr>
    </w:p>
    <w:p w14:paraId="54B7BDAF">
      <w:pPr>
        <w:pStyle w:val="2"/>
        <w:rPr>
          <w:rFonts w:hint="eastAsia"/>
          <w:lang w:val="en-US" w:eastAsia="zh-CN"/>
        </w:rPr>
      </w:pPr>
    </w:p>
    <w:p w14:paraId="47ECEAF4">
      <w:pPr>
        <w:rPr>
          <w:rFonts w:hint="eastAsia"/>
          <w:lang w:val="en-US" w:eastAsia="zh-CN"/>
        </w:rPr>
      </w:pPr>
    </w:p>
    <w:p w14:paraId="3BD5D0BD">
      <w:pPr>
        <w:pStyle w:val="5"/>
        <w:ind w:left="0" w:leftChars="0" w:firstLine="0" w:firstLineChars="0"/>
        <w:rPr>
          <w:rFonts w:hint="eastAsia"/>
          <w:lang w:val="en-US" w:eastAsia="zh-CN"/>
        </w:rPr>
      </w:pPr>
    </w:p>
    <w:p w14:paraId="612C2BD7">
      <w:pPr>
        <w:keepNext w:val="0"/>
        <w:keepLines w:val="0"/>
        <w:pageBreakBefore w:val="0"/>
        <w:widowControl w:val="0"/>
        <w:kinsoku/>
        <w:wordWrap/>
        <w:overflowPunct/>
        <w:topLinePunct w:val="0"/>
        <w:autoSpaceDE/>
        <w:autoSpaceDN/>
        <w:bidi w:val="0"/>
        <w:adjustRightInd w:val="0"/>
        <w:snapToGrid w:val="0"/>
        <w:spacing w:line="57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w:t>
      </w:r>
      <w:r>
        <w:rPr>
          <w:rFonts w:hint="eastAsia" w:ascii="仿宋_GB2312" w:hAnsi="仿宋_GB2312" w:eastAsia="仿宋_GB2312" w:cs="仿宋_GB2312"/>
          <w:color w:val="auto"/>
          <w:w w:val="100"/>
          <w:sz w:val="32"/>
          <w:szCs w:val="32"/>
          <w:lang w:eastAsia="zh-CN"/>
        </w:rPr>
        <w:t>六安市叶集区三元镇</w:t>
      </w:r>
      <w:r>
        <w:rPr>
          <w:rFonts w:hint="eastAsia" w:ascii="仿宋_GB2312" w:hAnsi="仿宋_GB2312" w:eastAsia="仿宋_GB2312" w:cs="仿宋_GB2312"/>
          <w:color w:val="auto"/>
          <w:w w:val="100"/>
          <w:sz w:val="32"/>
          <w:szCs w:val="32"/>
          <w:lang w:val="en-US" w:eastAsia="zh-CN"/>
        </w:rPr>
        <w:t>人民政府</w:t>
      </w:r>
      <w:r>
        <w:rPr>
          <w:rFonts w:hint="eastAsia" w:ascii="仿宋_GB2312" w:hAnsi="仿宋_GB2312" w:eastAsia="仿宋_GB2312" w:cs="仿宋_GB2312"/>
          <w:color w:val="000000"/>
          <w:sz w:val="32"/>
          <w:szCs w:val="32"/>
          <w:lang w:val="en-US" w:eastAsia="zh-CN"/>
        </w:rPr>
        <w:t>、六安市生态环境保护综合行政执法支队叶集区大队、叶集经济开发区生态环境工作站、</w:t>
      </w:r>
      <w:r>
        <w:rPr>
          <w:rFonts w:hint="eastAsia" w:ascii="仿宋_GB2312" w:hAnsi="仿宋_GB2312" w:eastAsia="仿宋_GB2312" w:cs="仿宋_GB2312"/>
          <w:color w:val="auto"/>
          <w:w w:val="100"/>
          <w:sz w:val="32"/>
          <w:szCs w:val="32"/>
          <w:lang w:eastAsia="zh-CN"/>
        </w:rPr>
        <w:t>安徽德水环境工程有限公司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2"/>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2"/>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2"/>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2"/>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2"/>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21D2D7C"/>
    <w:rsid w:val="025A782D"/>
    <w:rsid w:val="033B240C"/>
    <w:rsid w:val="04B9310D"/>
    <w:rsid w:val="05AC4EF2"/>
    <w:rsid w:val="0729326F"/>
    <w:rsid w:val="08D43138"/>
    <w:rsid w:val="0A132C02"/>
    <w:rsid w:val="0BC24FD0"/>
    <w:rsid w:val="0C0046C9"/>
    <w:rsid w:val="0C0A26F5"/>
    <w:rsid w:val="0C295CBE"/>
    <w:rsid w:val="0D9178C8"/>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8818BD"/>
    <w:rsid w:val="1C9415B7"/>
    <w:rsid w:val="1CDC4DD5"/>
    <w:rsid w:val="1D3C3FEF"/>
    <w:rsid w:val="1D7A639C"/>
    <w:rsid w:val="1E570B35"/>
    <w:rsid w:val="1F39255A"/>
    <w:rsid w:val="1F6251F7"/>
    <w:rsid w:val="1FFFE119"/>
    <w:rsid w:val="200D2C24"/>
    <w:rsid w:val="21714460"/>
    <w:rsid w:val="22C84860"/>
    <w:rsid w:val="2318468D"/>
    <w:rsid w:val="23BB11CE"/>
    <w:rsid w:val="24A130CA"/>
    <w:rsid w:val="26F2796A"/>
    <w:rsid w:val="277A1333"/>
    <w:rsid w:val="287844DA"/>
    <w:rsid w:val="290C6A42"/>
    <w:rsid w:val="29D03B05"/>
    <w:rsid w:val="2A8C0D0B"/>
    <w:rsid w:val="2B1716CE"/>
    <w:rsid w:val="2C180D3D"/>
    <w:rsid w:val="2C9044BF"/>
    <w:rsid w:val="2E311BD0"/>
    <w:rsid w:val="2E4A590F"/>
    <w:rsid w:val="2E9F45B0"/>
    <w:rsid w:val="2EE04A72"/>
    <w:rsid w:val="2EE82182"/>
    <w:rsid w:val="2F2F7C22"/>
    <w:rsid w:val="315372CC"/>
    <w:rsid w:val="32207918"/>
    <w:rsid w:val="325D3A78"/>
    <w:rsid w:val="32637295"/>
    <w:rsid w:val="32BF3B8D"/>
    <w:rsid w:val="32F36EA7"/>
    <w:rsid w:val="337C76E9"/>
    <w:rsid w:val="33AF1889"/>
    <w:rsid w:val="346E2CE3"/>
    <w:rsid w:val="35651098"/>
    <w:rsid w:val="363A4058"/>
    <w:rsid w:val="36FD79CA"/>
    <w:rsid w:val="38137C9C"/>
    <w:rsid w:val="38163A8F"/>
    <w:rsid w:val="396143E0"/>
    <w:rsid w:val="3A02191F"/>
    <w:rsid w:val="3AFF61A3"/>
    <w:rsid w:val="3B785C82"/>
    <w:rsid w:val="3BB64A9F"/>
    <w:rsid w:val="3D973563"/>
    <w:rsid w:val="3E9305E9"/>
    <w:rsid w:val="3F933635"/>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CB63384"/>
    <w:rsid w:val="4D302450"/>
    <w:rsid w:val="4DA16EA9"/>
    <w:rsid w:val="4DF76AE3"/>
    <w:rsid w:val="4E06542A"/>
    <w:rsid w:val="4FDB6156"/>
    <w:rsid w:val="51C9057C"/>
    <w:rsid w:val="5291745F"/>
    <w:rsid w:val="533455C2"/>
    <w:rsid w:val="54146A42"/>
    <w:rsid w:val="54947768"/>
    <w:rsid w:val="56497633"/>
    <w:rsid w:val="56B05707"/>
    <w:rsid w:val="57415259"/>
    <w:rsid w:val="57FEA6A8"/>
    <w:rsid w:val="5A984D1F"/>
    <w:rsid w:val="5BA43FB8"/>
    <w:rsid w:val="5BD06B9D"/>
    <w:rsid w:val="5BF569AE"/>
    <w:rsid w:val="5CE10298"/>
    <w:rsid w:val="5D2D47A4"/>
    <w:rsid w:val="5D8D11F8"/>
    <w:rsid w:val="5DAF4C1B"/>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8003928"/>
    <w:rsid w:val="69C65855"/>
    <w:rsid w:val="6A0D6AD9"/>
    <w:rsid w:val="6AB31398"/>
    <w:rsid w:val="6BDA58FF"/>
    <w:rsid w:val="6D7813AB"/>
    <w:rsid w:val="6DA106B5"/>
    <w:rsid w:val="6F1E3EA8"/>
    <w:rsid w:val="6F341871"/>
    <w:rsid w:val="6F7BB260"/>
    <w:rsid w:val="6F865AA7"/>
    <w:rsid w:val="704C7C5C"/>
    <w:rsid w:val="71E317EE"/>
    <w:rsid w:val="720A54C5"/>
    <w:rsid w:val="73634DF7"/>
    <w:rsid w:val="738F33AD"/>
    <w:rsid w:val="73F76F74"/>
    <w:rsid w:val="779D7C27"/>
    <w:rsid w:val="788E184C"/>
    <w:rsid w:val="7A461991"/>
    <w:rsid w:val="7AD021D9"/>
    <w:rsid w:val="7AF47901"/>
    <w:rsid w:val="7B477B38"/>
    <w:rsid w:val="7BBD6CF5"/>
    <w:rsid w:val="7C0A1723"/>
    <w:rsid w:val="7C1437E1"/>
    <w:rsid w:val="7C5D6993"/>
    <w:rsid w:val="7CA6352C"/>
    <w:rsid w:val="7CC86220"/>
    <w:rsid w:val="7CF820C9"/>
    <w:rsid w:val="7D162BE6"/>
    <w:rsid w:val="7E282B4B"/>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szCs w:val="18"/>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1589</Words>
  <Characters>1726</Characters>
  <Paragraphs>41</Paragraphs>
  <TotalTime>11</TotalTime>
  <ScaleCrop>false</ScaleCrop>
  <LinksUpToDate>false</LinksUpToDate>
  <CharactersWithSpaces>1803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2025-07-15T02:42:51Z</cp:lastPrinted>
  <dcterms:modified xsi:type="dcterms:W3CDTF">2025-07-15T03:50:02Z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