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overflowPunct/>
        <w:topLinePunct w:val="0"/>
        <w:autoSpaceDE/>
        <w:autoSpaceDN/>
        <w:bidi w:val="0"/>
        <w:adjustRightInd w:val="0"/>
        <w:snapToGrid w:val="0"/>
        <w:spacing w:line="576"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auto"/>
          <w:w w:val="100"/>
          <w:sz w:val="32"/>
          <w:szCs w:val="32"/>
          <w:lang w:val="en-US" w:eastAsia="zh-CN"/>
        </w:rPr>
        <w:t>11</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316A6129">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关于《六安市辉宏家具有限公司年产350万片转椅板部件项目</w:t>
      </w:r>
      <w:r>
        <w:rPr>
          <w:rFonts w:hint="eastAsia" w:ascii="方正小标宋简体" w:hAnsi="方正小标宋简体" w:eastAsia="方正小标宋简体" w:cs="方正小标宋简体"/>
          <w:w w:val="100"/>
          <w:sz w:val="44"/>
          <w:szCs w:val="44"/>
          <w:lang w:eastAsia="zh-CN"/>
        </w:rPr>
        <w:br w:type="textWrapping"/>
      </w: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val="0"/>
        <w:autoSpaceDE/>
        <w:autoSpaceDN/>
        <w:bidi w:val="0"/>
        <w:adjustRightInd w:val="0"/>
        <w:snapToGrid w:val="0"/>
        <w:spacing w:line="580"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六安市辉宏家具有限公司：</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报送的《六安市辉宏家具有限公司年产</w:t>
      </w:r>
      <w:r>
        <w:rPr>
          <w:rFonts w:hint="eastAsia" w:ascii="Times New Roman" w:hAnsi="Times New Roman" w:eastAsia="仿宋_GB2312" w:cs="Times New Roman"/>
          <w:color w:val="auto"/>
          <w:w w:val="100"/>
          <w:sz w:val="32"/>
          <w:szCs w:val="32"/>
        </w:rPr>
        <w:t>350</w:t>
      </w:r>
      <w:r>
        <w:rPr>
          <w:rFonts w:hint="eastAsia" w:ascii="仿宋_GB2312" w:hAnsi="仿宋_GB2312" w:eastAsia="仿宋_GB2312" w:cs="仿宋_GB2312"/>
          <w:color w:val="auto"/>
          <w:w w:val="100"/>
          <w:sz w:val="32"/>
          <w:szCs w:val="32"/>
        </w:rPr>
        <w:t>万片转椅板部件项目环境影响报告表》收悉（以下简称《报告表》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2412-341504-04-01-178506</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eastAsia="zh-CN"/>
        </w:rPr>
        <w:t>项目</w:t>
      </w:r>
      <w:r>
        <w:rPr>
          <w:rFonts w:hint="eastAsia" w:ascii="仿宋_GB2312" w:hAnsi="仿宋_GB2312" w:eastAsia="仿宋_GB2312" w:cs="仿宋_GB2312"/>
          <w:color w:val="auto"/>
          <w:w w:val="100"/>
          <w:sz w:val="32"/>
          <w:szCs w:val="32"/>
          <w:lang w:val="en-US" w:eastAsia="zh-CN"/>
        </w:rPr>
        <w:t>位于</w:t>
      </w:r>
      <w:r>
        <w:rPr>
          <w:rFonts w:hint="eastAsia" w:ascii="仿宋_GB2312" w:hAnsi="仿宋_GB2312" w:eastAsia="仿宋_GB2312" w:cs="仿宋_GB2312"/>
          <w:color w:val="auto"/>
          <w:w w:val="100"/>
          <w:sz w:val="32"/>
          <w:szCs w:val="32"/>
          <w:lang w:eastAsia="zh-CN"/>
        </w:rPr>
        <w:t>安徽省六安市叶集经济开发区中至信大道，</w:t>
      </w:r>
      <w:r>
        <w:rPr>
          <w:rFonts w:hint="eastAsia" w:ascii="仿宋_GB2312" w:hAnsi="仿宋_GB2312" w:eastAsia="仿宋_GB2312" w:cs="仿宋_GB2312"/>
          <w:color w:val="auto"/>
          <w:w w:val="100"/>
          <w:sz w:val="32"/>
          <w:szCs w:val="32"/>
          <w:lang w:val="en-US" w:eastAsia="zh-CN"/>
        </w:rPr>
        <w:t>租赁</w:t>
      </w:r>
      <w:r>
        <w:rPr>
          <w:rFonts w:hint="eastAsia" w:ascii="仿宋_GB2312" w:hAnsi="仿宋_GB2312" w:eastAsia="仿宋_GB2312" w:cs="仿宋_GB2312"/>
          <w:color w:val="auto"/>
          <w:w w:val="100"/>
          <w:sz w:val="32"/>
          <w:szCs w:val="32"/>
          <w:lang w:eastAsia="zh-CN"/>
        </w:rPr>
        <w:t>中至信家居</w:t>
      </w:r>
      <w:r>
        <w:rPr>
          <w:rFonts w:hint="eastAsia" w:ascii="Times New Roman" w:hAnsi="Times New Roman" w:eastAsia="仿宋_GB2312" w:cs="Times New Roman"/>
          <w:color w:val="auto"/>
          <w:w w:val="100"/>
          <w:sz w:val="32"/>
          <w:szCs w:val="32"/>
          <w:lang w:eastAsia="zh-CN"/>
        </w:rPr>
        <w:t>7#</w:t>
      </w:r>
      <w:r>
        <w:rPr>
          <w:rFonts w:hint="eastAsia" w:ascii="仿宋_GB2312" w:hAnsi="仿宋_GB2312" w:eastAsia="仿宋_GB2312" w:cs="仿宋_GB2312"/>
          <w:color w:val="auto"/>
          <w:w w:val="100"/>
          <w:sz w:val="32"/>
          <w:szCs w:val="32"/>
          <w:lang w:eastAsia="zh-CN"/>
        </w:rPr>
        <w:t>厂房，</w:t>
      </w:r>
      <w:r>
        <w:rPr>
          <w:rFonts w:hint="eastAsia" w:ascii="仿宋_GB2312" w:hAnsi="仿宋_GB2312" w:eastAsia="仿宋_GB2312" w:cs="仿宋_GB2312"/>
          <w:color w:val="auto"/>
          <w:w w:val="100"/>
          <w:sz w:val="32"/>
          <w:szCs w:val="32"/>
          <w:lang w:val="en-US" w:eastAsia="zh-CN"/>
        </w:rPr>
        <w:t>总建筑面积</w:t>
      </w:r>
      <w:r>
        <w:rPr>
          <w:rFonts w:hint="eastAsia" w:ascii="Times New Roman" w:hAnsi="Times New Roman" w:eastAsia="仿宋_GB2312" w:cs="Times New Roman"/>
          <w:color w:val="auto"/>
          <w:w w:val="100"/>
          <w:sz w:val="32"/>
          <w:szCs w:val="32"/>
          <w:lang w:val="en-US" w:eastAsia="zh-CN"/>
        </w:rPr>
        <w:t>8621.16</w:t>
      </w:r>
      <w:r>
        <w:rPr>
          <w:rFonts w:hint="eastAsia" w:ascii="Times New Roman" w:hAnsi="Times New Roman" w:eastAsia="仿宋_GB2312" w:cs="Times New Roman"/>
          <w:color w:val="auto"/>
          <w:w w:val="100"/>
          <w:sz w:val="32"/>
          <w:szCs w:val="32"/>
          <w:lang w:eastAsia="zh-CN"/>
        </w:rPr>
        <w:t>m</w:t>
      </w:r>
      <w:r>
        <w:rPr>
          <w:rFonts w:hint="eastAsia"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lang w:eastAsia="zh-CN"/>
        </w:rPr>
        <w:t>，购置</w:t>
      </w:r>
      <w:r>
        <w:rPr>
          <w:rFonts w:hint="eastAsia" w:ascii="仿宋_GB2312" w:hAnsi="仿宋_GB2312" w:eastAsia="仿宋_GB2312" w:cs="仿宋_GB2312"/>
          <w:color w:val="auto"/>
          <w:w w:val="100"/>
          <w:sz w:val="32"/>
          <w:szCs w:val="32"/>
          <w:lang w:val="en-US" w:eastAsia="zh-CN"/>
        </w:rPr>
        <w:t>施胶机、热压机、自动仿形机、自动锯板机、雕刻机、自动打光机、手动砂光机、喷枪等设备</w:t>
      </w:r>
      <w:r>
        <w:rPr>
          <w:rFonts w:hint="eastAsia" w:ascii="仿宋_GB2312" w:hAnsi="仿宋_GB2312" w:eastAsia="仿宋_GB2312" w:cs="仿宋_GB2312"/>
          <w:color w:val="auto"/>
          <w:w w:val="100"/>
          <w:sz w:val="32"/>
          <w:szCs w:val="32"/>
          <w:lang w:eastAsia="zh-CN"/>
        </w:rPr>
        <w:t>，项目建成后可形成</w:t>
      </w:r>
      <w:r>
        <w:rPr>
          <w:rFonts w:hint="eastAsia" w:ascii="仿宋_GB2312" w:hAnsi="仿宋_GB2312" w:eastAsia="仿宋_GB2312" w:cs="仿宋_GB2312"/>
          <w:color w:val="auto"/>
          <w:w w:val="100"/>
          <w:sz w:val="32"/>
          <w:szCs w:val="32"/>
        </w:rPr>
        <w:t>年产</w:t>
      </w:r>
      <w:r>
        <w:rPr>
          <w:rFonts w:hint="eastAsia" w:ascii="Times New Roman" w:hAnsi="Times New Roman" w:eastAsia="仿宋_GB2312" w:cs="Times New Roman"/>
          <w:color w:val="auto"/>
          <w:w w:val="100"/>
          <w:sz w:val="32"/>
          <w:szCs w:val="32"/>
        </w:rPr>
        <w:t>350</w:t>
      </w:r>
      <w:r>
        <w:rPr>
          <w:rFonts w:hint="eastAsia" w:ascii="仿宋_GB2312" w:hAnsi="仿宋_GB2312" w:eastAsia="仿宋_GB2312" w:cs="仿宋_GB2312"/>
          <w:color w:val="auto"/>
          <w:w w:val="100"/>
          <w:sz w:val="32"/>
          <w:szCs w:val="32"/>
        </w:rPr>
        <w:t>万片转椅板部件</w:t>
      </w:r>
      <w:r>
        <w:rPr>
          <w:rFonts w:hint="eastAsia" w:ascii="仿宋_GB2312" w:hAnsi="仿宋_GB2312" w:eastAsia="仿宋_GB2312" w:cs="仿宋_GB2312"/>
          <w:color w:val="auto"/>
          <w:w w:val="100"/>
          <w:sz w:val="32"/>
          <w:szCs w:val="32"/>
          <w:lang w:eastAsia="zh-CN"/>
        </w:rPr>
        <w:t>的生产能力。项目</w:t>
      </w:r>
      <w:r>
        <w:rPr>
          <w:rFonts w:hint="eastAsia" w:ascii="仿宋_GB2312" w:hAnsi="仿宋_GB2312" w:eastAsia="仿宋_GB2312" w:cs="仿宋_GB2312"/>
          <w:color w:val="auto"/>
          <w:w w:val="100"/>
          <w:sz w:val="32"/>
          <w:szCs w:val="32"/>
          <w:lang w:val="en-US" w:eastAsia="zh-CN"/>
        </w:rPr>
        <w:t>总投资</w:t>
      </w:r>
      <w:r>
        <w:rPr>
          <w:rFonts w:hint="eastAsia" w:ascii="Times New Roman" w:hAnsi="Times New Roman" w:eastAsia="仿宋_GB2312" w:cs="Times New Roman"/>
          <w:color w:val="auto"/>
          <w:w w:val="100"/>
          <w:sz w:val="32"/>
          <w:szCs w:val="32"/>
          <w:lang w:val="en-US" w:eastAsia="zh-CN"/>
        </w:rPr>
        <w:t>1000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auto"/>
          <w:w w:val="100"/>
          <w:sz w:val="32"/>
          <w:szCs w:val="32"/>
          <w:lang w:val="en-US" w:eastAsia="zh-CN"/>
        </w:rPr>
        <w:t>30</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0F768847">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636140D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实行雨污分流，雨水经雨水管网排至市政雨水管网；生活污水经化粪池预处理，后接管市政污水管网，进入叶集经济开发区污水处理厂处理后达标排放；喷枪清洗废水回用于调漆工序不外排。项目生活污水排放执行《污水综合排放标准》（</w:t>
      </w:r>
      <w:r>
        <w:rPr>
          <w:rFonts w:hint="eastAsia" w:ascii="Times New Roman" w:hAnsi="Times New Roman" w:eastAsia="仿宋_GB2312" w:cs="Times New Roman"/>
          <w:color w:val="auto"/>
          <w:w w:val="100"/>
          <w:sz w:val="32"/>
          <w:szCs w:val="32"/>
          <w:lang w:val="en-US" w:eastAsia="zh-CN"/>
        </w:rPr>
        <w:t>GB8978-1996</w:t>
      </w:r>
      <w:r>
        <w:rPr>
          <w:rFonts w:hint="eastAsia" w:ascii="仿宋_GB2312" w:hAnsi="仿宋_GB2312" w:eastAsia="仿宋_GB2312" w:cs="仿宋_GB2312"/>
          <w:sz w:val="32"/>
          <w:szCs w:val="32"/>
          <w:lang w:val="en-US" w:eastAsia="zh-CN"/>
        </w:rPr>
        <w:t>）表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中三级标准及叶集经济开发区污水处理厂接管要求。</w:t>
      </w:r>
    </w:p>
    <w:p w14:paraId="4B116EF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严格落实《报告表》中提出的废气防治方案。项目施胶废气、热压废气经集气罩收集后经“二级活性炭吸附”装置</w:t>
      </w:r>
      <w:r>
        <w:rPr>
          <w:rFonts w:hint="eastAsia" w:ascii="Times New Roman" w:hAnsi="Times New Roman" w:eastAsia="仿宋_GB2312" w:cs="Times New Roman"/>
          <w:color w:val="auto"/>
          <w:w w:val="100"/>
          <w:sz w:val="32"/>
          <w:szCs w:val="32"/>
          <w:lang w:val="en-US" w:eastAsia="zh-CN"/>
        </w:rPr>
        <w:t>（TA001）</w:t>
      </w:r>
      <w:r>
        <w:rPr>
          <w:rFonts w:hint="eastAsia" w:ascii="仿宋_GB2312" w:hAnsi="仿宋_GB2312" w:eastAsia="仿宋_GB2312" w:cs="仿宋_GB2312"/>
          <w:sz w:val="32"/>
          <w:szCs w:val="32"/>
          <w:lang w:val="en-US" w:eastAsia="zh-CN"/>
        </w:rPr>
        <w:t>处理后，通过</w:t>
      </w:r>
      <w:r>
        <w:rPr>
          <w:rFonts w:hint="eastAsia" w:ascii="Times New Roman" w:hAnsi="Times New Roman" w:eastAsia="仿宋_GB2312" w:cs="Times New Roman"/>
          <w:color w:val="auto"/>
          <w:w w:val="100"/>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DA001</w:t>
      </w:r>
      <w:r>
        <w:rPr>
          <w:rFonts w:hint="eastAsia" w:ascii="仿宋_GB2312" w:hAnsi="仿宋_GB2312" w:eastAsia="仿宋_GB2312" w:cs="仿宋_GB2312"/>
          <w:color w:val="auto"/>
          <w:sz w:val="32"/>
          <w:szCs w:val="32"/>
          <w:lang w:val="en-US" w:eastAsia="zh-CN"/>
        </w:rPr>
        <w:t>）排放；开料粉尘、成型粉尘、雕刻粉尘、打磨粉尘经集气罩收集后经“脉冲式布袋除尘器”（</w:t>
      </w:r>
      <w:r>
        <w:rPr>
          <w:rFonts w:hint="eastAsia" w:ascii="Times New Roman" w:hAnsi="Times New Roman" w:eastAsia="仿宋_GB2312" w:cs="Times New Roman"/>
          <w:color w:val="auto"/>
          <w:w w:val="100"/>
          <w:sz w:val="32"/>
          <w:szCs w:val="32"/>
          <w:lang w:val="en-US" w:eastAsia="zh-CN"/>
        </w:rPr>
        <w:t>TA002</w:t>
      </w:r>
      <w:r>
        <w:rPr>
          <w:rFonts w:hint="eastAsia" w:ascii="仿宋_GB2312" w:hAnsi="仿宋_GB2312" w:eastAsia="仿宋_GB2312" w:cs="仿宋_GB2312"/>
          <w:color w:val="auto"/>
          <w:sz w:val="32"/>
          <w:szCs w:val="32"/>
          <w:lang w:val="en-US" w:eastAsia="zh-CN"/>
        </w:rPr>
        <w:t>）处理后，通过</w:t>
      </w:r>
      <w:r>
        <w:rPr>
          <w:rFonts w:hint="default" w:ascii="Times New Roman" w:hAnsi="Times New Roman" w:eastAsia="仿宋_GB2312" w:cs="Times New Roman"/>
          <w:color w:val="auto"/>
          <w:w w:val="100"/>
          <w:sz w:val="32"/>
          <w:szCs w:val="32"/>
          <w:lang w:val="en-US" w:eastAsia="zh-CN"/>
        </w:rPr>
        <w:t>15</w:t>
      </w:r>
      <w:r>
        <w:rPr>
          <w:rFonts w:hint="default" w:ascii="Times New Roman" w:hAnsi="Times New Roman" w:eastAsia="仿宋_GB2312" w:cs="Times New Roman"/>
          <w:color w:val="auto"/>
          <w:sz w:val="32"/>
          <w:szCs w:val="32"/>
          <w:lang w:val="en-US" w:eastAsia="zh-CN"/>
        </w:rPr>
        <w:t>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DA002</w:t>
      </w:r>
      <w:r>
        <w:rPr>
          <w:rFonts w:hint="eastAsia" w:ascii="仿宋_GB2312" w:hAnsi="仿宋_GB2312" w:eastAsia="仿宋_GB2312" w:cs="仿宋_GB2312"/>
          <w:color w:val="auto"/>
          <w:sz w:val="32"/>
          <w:szCs w:val="32"/>
          <w:lang w:val="en-US" w:eastAsia="zh-CN"/>
        </w:rPr>
        <w:t>）排放；调漆废气、喷漆废气、烘干废气经负压收集后经“二级过滤棉+二级活性炭吸附”装置（</w:t>
      </w:r>
      <w:r>
        <w:rPr>
          <w:rFonts w:hint="eastAsia" w:ascii="Times New Roman" w:hAnsi="Times New Roman" w:eastAsia="仿宋_GB2312" w:cs="Times New Roman"/>
          <w:color w:val="auto"/>
          <w:w w:val="100"/>
          <w:sz w:val="32"/>
          <w:szCs w:val="32"/>
          <w:lang w:val="en-US" w:eastAsia="zh-CN"/>
        </w:rPr>
        <w:t>TA003）</w:t>
      </w:r>
      <w:r>
        <w:rPr>
          <w:rFonts w:hint="eastAsia" w:ascii="仿宋_GB2312" w:hAnsi="仿宋_GB2312" w:eastAsia="仿宋_GB2312" w:cs="仿宋_GB2312"/>
          <w:color w:val="auto"/>
          <w:sz w:val="32"/>
          <w:szCs w:val="32"/>
          <w:lang w:val="en-US" w:eastAsia="zh-CN"/>
        </w:rPr>
        <w:t>处理后，通过</w:t>
      </w:r>
      <w:r>
        <w:rPr>
          <w:rFonts w:hint="default" w:ascii="Times New Roman" w:hAnsi="Times New Roman" w:eastAsia="仿宋_GB2312" w:cs="Times New Roman"/>
          <w:color w:val="auto"/>
          <w:w w:val="100"/>
          <w:sz w:val="32"/>
          <w:szCs w:val="32"/>
          <w:lang w:val="en-US" w:eastAsia="zh-CN"/>
        </w:rPr>
        <w:t>15</w:t>
      </w:r>
      <w:r>
        <w:rPr>
          <w:rFonts w:hint="default" w:ascii="Times New Roman" w:hAnsi="Times New Roman" w:eastAsia="仿宋_GB2312" w:cs="Times New Roman"/>
          <w:color w:val="auto"/>
          <w:sz w:val="32"/>
          <w:szCs w:val="32"/>
          <w:lang w:val="en-US" w:eastAsia="zh-CN"/>
        </w:rPr>
        <w:t>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w w:val="100"/>
          <w:sz w:val="32"/>
          <w:szCs w:val="32"/>
          <w:lang w:val="en-US" w:eastAsia="zh-CN"/>
        </w:rPr>
        <w:t>DA003）</w:t>
      </w:r>
      <w:r>
        <w:rPr>
          <w:rFonts w:hint="eastAsia" w:ascii="仿宋_GB2312" w:hAnsi="仿宋_GB2312" w:eastAsia="仿宋_GB2312" w:cs="仿宋_GB2312"/>
          <w:color w:val="auto"/>
          <w:sz w:val="32"/>
          <w:szCs w:val="32"/>
          <w:lang w:val="en-US" w:eastAsia="zh-CN"/>
        </w:rPr>
        <w:t>排放。项目调漆、喷涂、烘干、打磨工段均位于整体密闭的空间内进行，有机废气采取整体负压收集。项目废气排放执行《家具制造业大气污染物排放标准》</w:t>
      </w:r>
      <w:r>
        <w:rPr>
          <w:rFonts w:hint="eastAsia" w:ascii="Times New Roman" w:hAnsi="Times New Roman" w:eastAsia="仿宋_GB2312" w:cs="Times New Roman"/>
          <w:color w:val="auto"/>
          <w:w w:val="100"/>
          <w:sz w:val="32"/>
          <w:szCs w:val="32"/>
          <w:lang w:val="en-US" w:eastAsia="zh-CN"/>
        </w:rPr>
        <w:t>（DB34/4337—2023）</w:t>
      </w:r>
      <w:r>
        <w:rPr>
          <w:rFonts w:hint="eastAsia" w:ascii="仿宋_GB2312" w:hAnsi="仿宋_GB2312" w:eastAsia="仿宋_GB2312" w:cs="仿宋_GB2312"/>
          <w:color w:val="auto"/>
          <w:sz w:val="32"/>
          <w:szCs w:val="32"/>
          <w:lang w:val="en-US" w:eastAsia="zh-CN"/>
        </w:rPr>
        <w:t>中相关标准。</w:t>
      </w:r>
    </w:p>
    <w:p w14:paraId="0811606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优化布局，选用低噪设备，采取减振、隔声、消声等措施减小噪声污染，确保厂界噪声排放执行《工业企业厂界环境噪声排放标准》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类标准。</w:t>
      </w:r>
    </w:p>
    <w:p w14:paraId="025852F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边角料等一般工业固体废物分类收集后暂存于一般工业固废暂存区，外售综合利用或厂家回收；废活性炭、施胶机喷头清洗废水等危险废物</w:t>
      </w:r>
      <w:r>
        <w:rPr>
          <w:rFonts w:ascii="仿宋_GB2312" w:hAnsi="仿宋_GB2312" w:eastAsia="仿宋_GB2312" w:cs="仿宋_GB2312"/>
          <w:b w:val="0"/>
          <w:bCs w:val="0"/>
          <w:color w:val="000000"/>
          <w:sz w:val="31"/>
          <w:szCs w:val="31"/>
        </w:rPr>
        <w:t>应按照</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危险废物贮存污染控制标准》</w:t>
      </w:r>
      <w:r>
        <w:rPr>
          <w:rFonts w:hint="eastAsia" w:ascii="仿宋_GB2312" w:hAnsi="仿宋_GB2312" w:eastAsia="仿宋_GB2312" w:cs="仿宋_GB2312"/>
          <w:b w:val="0"/>
          <w:bCs w:val="0"/>
          <w:color w:val="000000"/>
          <w:sz w:val="31"/>
          <w:szCs w:val="31"/>
          <w:lang w:eastAsia="zh-CN"/>
        </w:rPr>
        <w:t>（</w:t>
      </w:r>
      <w:r>
        <w:rPr>
          <w:rFonts w:hint="eastAsia" w:ascii="Times New Roman" w:hAnsi="Times New Roman" w:eastAsia="仿宋_GB2312" w:cs="Times New Roman"/>
          <w:color w:val="auto"/>
          <w:w w:val="100"/>
          <w:sz w:val="32"/>
          <w:szCs w:val="32"/>
          <w:lang w:val="en-US" w:eastAsia="zh-CN"/>
        </w:rPr>
        <w:t>GB18597-2023</w:t>
      </w:r>
      <w:r>
        <w:rPr>
          <w:rFonts w:ascii="仿宋_GB2312" w:hAnsi="仿宋_GB2312" w:eastAsia="仿宋_GB2312" w:cs="仿宋_GB2312"/>
          <w:b w:val="0"/>
          <w:bCs w:val="0"/>
          <w:color w:val="000000"/>
          <w:sz w:val="31"/>
          <w:szCs w:val="31"/>
        </w:rPr>
        <w:t>）、《危险废物识别标志</w:t>
      </w:r>
      <w:r>
        <w:rPr>
          <w:rFonts w:hint="eastAsia" w:ascii="仿宋_GB2312" w:hAnsi="仿宋_GB2312" w:eastAsia="仿宋_GB2312" w:cs="仿宋_GB2312"/>
          <w:b w:val="0"/>
          <w:bCs w:val="0"/>
          <w:color w:val="000000"/>
          <w:sz w:val="31"/>
          <w:szCs w:val="31"/>
          <w:lang w:val="en-US" w:eastAsia="zh-CN"/>
        </w:rPr>
        <w:t>设置</w:t>
      </w:r>
      <w:r>
        <w:rPr>
          <w:rFonts w:ascii="仿宋_GB2312" w:hAnsi="仿宋_GB2312" w:eastAsia="仿宋_GB2312" w:cs="仿宋_GB2312"/>
          <w:b w:val="0"/>
          <w:bCs w:val="0"/>
          <w:color w:val="000000"/>
          <w:sz w:val="31"/>
          <w:szCs w:val="31"/>
        </w:rPr>
        <w:t>技术规范》（</w:t>
      </w:r>
      <w:r>
        <w:rPr>
          <w:rFonts w:hint="eastAsia" w:ascii="Times New Roman" w:hAnsi="Times New Roman" w:eastAsia="仿宋_GB2312" w:cs="Times New Roman"/>
          <w:color w:val="auto"/>
          <w:w w:val="100"/>
          <w:sz w:val="32"/>
          <w:szCs w:val="32"/>
          <w:lang w:val="en-US" w:eastAsia="zh-CN"/>
        </w:rPr>
        <w:t>HJ1276-2022）</w:t>
      </w:r>
      <w:r>
        <w:rPr>
          <w:rFonts w:ascii="仿宋_GB2312" w:hAnsi="仿宋_GB2312" w:eastAsia="仿宋_GB2312" w:cs="仿宋_GB2312"/>
          <w:b w:val="0"/>
          <w:bCs w:val="0"/>
          <w:color w:val="000000"/>
          <w:sz w:val="31"/>
          <w:szCs w:val="31"/>
        </w:rPr>
        <w:t>和《危险废物转移管理办法》中规定</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分类分区规范暂存于危废暂存</w:t>
      </w:r>
      <w:r>
        <w:rPr>
          <w:rFonts w:hint="eastAsia" w:ascii="仿宋_GB2312" w:hAnsi="仿宋_GB2312" w:eastAsia="仿宋_GB2312" w:cs="仿宋_GB2312"/>
          <w:b w:val="0"/>
          <w:bCs w:val="0"/>
          <w:color w:val="000000"/>
          <w:sz w:val="31"/>
          <w:szCs w:val="31"/>
          <w:lang w:val="en-US" w:eastAsia="zh-CN"/>
        </w:rPr>
        <w:t>间</w:t>
      </w:r>
      <w:r>
        <w:rPr>
          <w:rFonts w:ascii="仿宋_GB2312" w:hAnsi="仿宋_GB2312" w:eastAsia="仿宋_GB2312" w:cs="仿宋_GB2312"/>
          <w:b w:val="0"/>
          <w:bCs w:val="0"/>
          <w:color w:val="000000"/>
          <w:sz w:val="31"/>
          <w:szCs w:val="31"/>
        </w:rPr>
        <w:t>，并</w:t>
      </w:r>
      <w:r>
        <w:rPr>
          <w:rFonts w:hint="eastAsia" w:ascii="仿宋_GB2312" w:hAnsi="仿宋_GB2312" w:eastAsia="仿宋_GB2312" w:cs="仿宋_GB2312"/>
          <w:sz w:val="32"/>
          <w:szCs w:val="32"/>
          <w:lang w:val="en-US" w:eastAsia="zh-CN"/>
        </w:rPr>
        <w:t>定期委托有资质单位合法处置。</w:t>
      </w:r>
    </w:p>
    <w:p w14:paraId="3E1764BD">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w:t>
      </w:r>
    </w:p>
    <w:p w14:paraId="76C8E441">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791B6CDD">
      <w:pPr>
        <w:keepNext w:val="0"/>
        <w:keepLines w:val="0"/>
        <w:pageBreakBefore w:val="0"/>
        <w:widowControl w:val="0"/>
        <w:kinsoku/>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7253ECEE">
      <w:pPr>
        <w:keepNext w:val="0"/>
        <w:keepLines w:val="0"/>
        <w:pageBreakBefore w:val="0"/>
        <w:widowControl w:val="0"/>
        <w:kinsoku/>
        <w:overflowPunct/>
        <w:topLinePunct w:val="0"/>
        <w:autoSpaceDE/>
        <w:autoSpaceDN/>
        <w:bidi w:val="0"/>
        <w:spacing w:line="580" w:lineRule="exact"/>
        <w:jc w:val="center"/>
        <w:textAlignment w:val="auto"/>
        <w:rPr>
          <w:rFonts w:hint="eastAsia" w:ascii="仿宋_GB2312" w:hAnsi="仿宋_GB2312" w:eastAsia="仿宋_GB2312" w:cs="仿宋_GB2312"/>
          <w:sz w:val="32"/>
          <w:szCs w:val="32"/>
          <w:lang w:val="en-US" w:eastAsia="zh-CN"/>
        </w:rPr>
      </w:pPr>
    </w:p>
    <w:p w14:paraId="6E3FB4D0">
      <w:pPr>
        <w:keepNext w:val="0"/>
        <w:keepLines w:val="0"/>
        <w:pageBreakBefore w:val="0"/>
        <w:widowControl w:val="0"/>
        <w:kinsoku/>
        <w:overflowPunct/>
        <w:topLinePunct w:val="0"/>
        <w:autoSpaceDE/>
        <w:autoSpaceDN/>
        <w:bidi w:val="0"/>
        <w:spacing w:line="580" w:lineRule="exact"/>
        <w:jc w:val="center"/>
        <w:textAlignment w:val="auto"/>
        <w:rPr>
          <w:rFonts w:hint="eastAsia" w:ascii="仿宋_GB2312" w:hAnsi="仿宋_GB2312" w:eastAsia="仿宋_GB2312" w:cs="仿宋_GB2312"/>
          <w:sz w:val="32"/>
          <w:szCs w:val="32"/>
          <w:lang w:val="en-US" w:eastAsia="zh-CN"/>
        </w:rPr>
      </w:pPr>
    </w:p>
    <w:p w14:paraId="33557738">
      <w:pPr>
        <w:keepNext w:val="0"/>
        <w:keepLines w:val="0"/>
        <w:pageBreakBefore w:val="0"/>
        <w:widowControl w:val="0"/>
        <w:kinsoku/>
        <w:overflowPunct/>
        <w:topLinePunct w:val="0"/>
        <w:autoSpaceDE/>
        <w:autoSpaceDN/>
        <w:bidi w:val="0"/>
        <w:spacing w:line="58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004C9FD2">
      <w:pPr>
        <w:keepNext w:val="0"/>
        <w:keepLines w:val="0"/>
        <w:pageBreakBefore w:val="0"/>
        <w:widowControl w:val="0"/>
        <w:kinsoku/>
        <w:overflowPunct/>
        <w:topLinePunct w:val="0"/>
        <w:autoSpaceDE/>
        <w:autoSpaceDN/>
        <w:bidi w:val="0"/>
        <w:spacing w:line="580"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auto"/>
          <w:w w:val="100"/>
          <w:sz w:val="32"/>
          <w:szCs w:val="32"/>
          <w:lang w:val="en-US" w:eastAsia="zh-CN"/>
        </w:rPr>
        <w:t>7</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14</w:t>
      </w:r>
      <w:r>
        <w:rPr>
          <w:rFonts w:hint="eastAsia" w:ascii="仿宋_GB2312" w:hAnsi="仿宋_GB2312" w:eastAsia="仿宋_GB2312" w:cs="仿宋_GB2312"/>
          <w:sz w:val="32"/>
          <w:szCs w:val="32"/>
          <w:lang w:val="en-US" w:eastAsia="zh-CN"/>
        </w:rPr>
        <w:t>日</w:t>
      </w:r>
    </w:p>
    <w:p w14:paraId="52A589BB">
      <w:pPr>
        <w:keepNext w:val="0"/>
        <w:keepLines w:val="0"/>
        <w:pageBreakBefore w:val="0"/>
        <w:widowControl w:val="0"/>
        <w:kinsoku/>
        <w:overflowPunct/>
        <w:topLinePunct w:val="0"/>
        <w:autoSpaceDE/>
        <w:autoSpaceDN/>
        <w:bidi w:val="0"/>
        <w:spacing w:line="580" w:lineRule="exact"/>
        <w:textAlignment w:val="auto"/>
        <w:rPr>
          <w:rFonts w:hint="eastAsia" w:ascii="仿宋_GB2312" w:hAnsi="仿宋_GB2312" w:eastAsia="仿宋_GB2312" w:cs="仿宋_GB2312"/>
          <w:color w:val="000000"/>
          <w:sz w:val="30"/>
          <w:szCs w:val="30"/>
          <w:lang w:val="en-US" w:eastAsia="zh-CN"/>
        </w:rPr>
      </w:pPr>
    </w:p>
    <w:p w14:paraId="3A4648FC">
      <w:pPr>
        <w:keepNext w:val="0"/>
        <w:keepLines w:val="0"/>
        <w:pageBreakBefore w:val="0"/>
        <w:widowControl w:val="0"/>
        <w:kinsoku/>
        <w:overflowPunct/>
        <w:topLinePunct w:val="0"/>
        <w:autoSpaceDE/>
        <w:autoSpaceDN/>
        <w:bidi w:val="0"/>
        <w:spacing w:line="580" w:lineRule="exact"/>
        <w:textAlignment w:val="auto"/>
        <w:rPr>
          <w:rFonts w:hint="eastAsia" w:ascii="仿宋_GB2312" w:hAnsi="仿宋_GB2312" w:eastAsia="仿宋_GB2312" w:cs="仿宋_GB2312"/>
          <w:color w:val="000000"/>
          <w:sz w:val="30"/>
          <w:szCs w:val="30"/>
          <w:lang w:val="en-US" w:eastAsia="zh-CN"/>
        </w:rPr>
      </w:pPr>
    </w:p>
    <w:p w14:paraId="77DA39D5">
      <w:pPr>
        <w:keepNext w:val="0"/>
        <w:keepLines w:val="0"/>
        <w:pageBreakBefore w:val="0"/>
        <w:widowControl w:val="0"/>
        <w:kinsoku/>
        <w:overflowPunct/>
        <w:topLinePunct w:val="0"/>
        <w:autoSpaceDE/>
        <w:autoSpaceDN/>
        <w:bidi w:val="0"/>
        <w:spacing w:line="580" w:lineRule="exact"/>
        <w:textAlignment w:val="auto"/>
        <w:rPr>
          <w:rFonts w:hint="eastAsia"/>
          <w:lang w:val="en-US" w:eastAsia="zh-CN"/>
        </w:rPr>
      </w:pPr>
    </w:p>
    <w:p w14:paraId="3BD5D0BD">
      <w:pPr>
        <w:pStyle w:val="2"/>
        <w:keepNext w:val="0"/>
        <w:keepLines w:val="0"/>
        <w:pageBreakBefore w:val="0"/>
        <w:widowControl w:val="0"/>
        <w:kinsoku/>
        <w:overflowPunct/>
        <w:topLinePunct w:val="0"/>
        <w:autoSpaceDE/>
        <w:autoSpaceDN/>
        <w:bidi w:val="0"/>
        <w:spacing w:line="580" w:lineRule="exact"/>
        <w:ind w:left="0" w:leftChars="0" w:firstLine="0" w:firstLineChars="0"/>
        <w:textAlignment w:val="auto"/>
        <w:rPr>
          <w:rFonts w:hint="eastAsia"/>
          <w:lang w:val="en-US" w:eastAsia="zh-CN"/>
        </w:rPr>
      </w:pPr>
    </w:p>
    <w:p w14:paraId="3E3F11FC">
      <w:pPr>
        <w:rPr>
          <w:rFonts w:hint="eastAsia"/>
          <w:lang w:val="en-US" w:eastAsia="zh-CN"/>
        </w:rPr>
      </w:pPr>
    </w:p>
    <w:p w14:paraId="608D83F8">
      <w:pPr>
        <w:pStyle w:val="2"/>
        <w:rPr>
          <w:rFonts w:hint="eastAsia"/>
          <w:lang w:val="en-US" w:eastAsia="zh-CN"/>
        </w:rPr>
      </w:pPr>
    </w:p>
    <w:p w14:paraId="487C6777">
      <w:pPr>
        <w:rPr>
          <w:rFonts w:hint="eastAsia"/>
          <w:lang w:val="en-US" w:eastAsia="zh-CN"/>
        </w:rPr>
      </w:pPr>
    </w:p>
    <w:p w14:paraId="77E129BB">
      <w:pPr>
        <w:pStyle w:val="2"/>
        <w:rPr>
          <w:rFonts w:hint="eastAsia"/>
          <w:lang w:val="en-US" w:eastAsia="zh-CN"/>
        </w:rPr>
      </w:pPr>
    </w:p>
    <w:p w14:paraId="43CBCB44">
      <w:pPr>
        <w:rPr>
          <w:rFonts w:hint="eastAsia"/>
          <w:lang w:val="en-US" w:eastAsia="zh-CN"/>
        </w:rPr>
      </w:pPr>
    </w:p>
    <w:p w14:paraId="1EC334A8">
      <w:pPr>
        <w:pStyle w:val="2"/>
        <w:rPr>
          <w:rFonts w:hint="eastAsia"/>
          <w:lang w:val="en-US" w:eastAsia="zh-CN"/>
        </w:rPr>
      </w:pPr>
    </w:p>
    <w:p w14:paraId="4344E253">
      <w:pPr>
        <w:rPr>
          <w:rFonts w:hint="eastAsia"/>
          <w:lang w:val="en-US" w:eastAsia="zh-CN"/>
        </w:rPr>
      </w:pPr>
    </w:p>
    <w:p w14:paraId="6788F267">
      <w:pPr>
        <w:pStyle w:val="2"/>
        <w:rPr>
          <w:rFonts w:hint="eastAsia"/>
          <w:lang w:val="en-US" w:eastAsia="zh-CN"/>
        </w:rPr>
      </w:pPr>
    </w:p>
    <w:p w14:paraId="09C8E3E2">
      <w:pPr>
        <w:rPr>
          <w:rFonts w:hint="eastAsia"/>
          <w:lang w:val="en-US" w:eastAsia="zh-CN"/>
        </w:rPr>
      </w:pPr>
    </w:p>
    <w:p w14:paraId="1785EFAF">
      <w:pPr>
        <w:pStyle w:val="2"/>
        <w:rPr>
          <w:rFonts w:hint="eastAsia"/>
          <w:lang w:val="en-US" w:eastAsia="zh-CN"/>
        </w:rPr>
      </w:pPr>
    </w:p>
    <w:p w14:paraId="170200A7">
      <w:pPr>
        <w:rPr>
          <w:rFonts w:hint="eastAsia"/>
          <w:lang w:val="en-US" w:eastAsia="zh-CN"/>
        </w:rPr>
      </w:pPr>
      <w:bookmarkStart w:id="0" w:name="_GoBack"/>
      <w:bookmarkEnd w:id="0"/>
    </w:p>
    <w:p w14:paraId="7543E26F">
      <w:pPr>
        <w:keepNext w:val="0"/>
        <w:keepLines w:val="0"/>
        <w:pageBreakBefore w:val="0"/>
        <w:widowControl w:val="0"/>
        <w:kinsoku/>
        <w:wordWrap/>
        <w:overflowPunct/>
        <w:topLinePunct w:val="0"/>
        <w:autoSpaceDE/>
        <w:autoSpaceDN/>
        <w:bidi w:val="0"/>
        <w:adjustRightInd w:val="0"/>
        <w:snapToGrid w:val="0"/>
        <w:spacing w:line="58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抄送：叶集经济开发区管理委员会、六安市生态环境保护综合行政执法支队叶集区大队、叶集经济开发区生态环境工作站、安徽恒泽环境科技有限公司</w:t>
      </w:r>
    </w:p>
    <w:sectPr>
      <w:footerReference r:id="rId5" w:type="first"/>
      <w:footerReference r:id="rId3" w:type="default"/>
      <w:footerReference r:id="rId4" w:type="even"/>
      <w:pgSz w:w="11906" w:h="16838"/>
      <w:pgMar w:top="2098" w:right="1531" w:bottom="198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5"/>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5"/>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5"/>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B1117D"/>
    <w:rsid w:val="01343A7F"/>
    <w:rsid w:val="025A782D"/>
    <w:rsid w:val="033B240C"/>
    <w:rsid w:val="04B9310D"/>
    <w:rsid w:val="05AC4EF2"/>
    <w:rsid w:val="0729326F"/>
    <w:rsid w:val="08BD02C3"/>
    <w:rsid w:val="08D43138"/>
    <w:rsid w:val="0A132C02"/>
    <w:rsid w:val="0BC24FD0"/>
    <w:rsid w:val="0C0046C9"/>
    <w:rsid w:val="0C0A26F5"/>
    <w:rsid w:val="0C295CBE"/>
    <w:rsid w:val="0D9178C8"/>
    <w:rsid w:val="0EDA1F20"/>
    <w:rsid w:val="11111C04"/>
    <w:rsid w:val="116A5FD8"/>
    <w:rsid w:val="11A07ED7"/>
    <w:rsid w:val="1285374D"/>
    <w:rsid w:val="128C2F7A"/>
    <w:rsid w:val="12B80FCE"/>
    <w:rsid w:val="13781BDD"/>
    <w:rsid w:val="13C2574A"/>
    <w:rsid w:val="150C68CB"/>
    <w:rsid w:val="161B669A"/>
    <w:rsid w:val="16BB1E0A"/>
    <w:rsid w:val="171D4AB1"/>
    <w:rsid w:val="182F341E"/>
    <w:rsid w:val="18C07105"/>
    <w:rsid w:val="1996608F"/>
    <w:rsid w:val="19DF3E6A"/>
    <w:rsid w:val="1A4513B4"/>
    <w:rsid w:val="1AFA6AEC"/>
    <w:rsid w:val="1C9415B7"/>
    <w:rsid w:val="1CDC4DD5"/>
    <w:rsid w:val="1D3C3FEF"/>
    <w:rsid w:val="1D7A639C"/>
    <w:rsid w:val="1E570B35"/>
    <w:rsid w:val="1F39255A"/>
    <w:rsid w:val="1F6251F7"/>
    <w:rsid w:val="1FFFE119"/>
    <w:rsid w:val="200D2C24"/>
    <w:rsid w:val="21714460"/>
    <w:rsid w:val="22C84860"/>
    <w:rsid w:val="2318468D"/>
    <w:rsid w:val="23BB11CE"/>
    <w:rsid w:val="24A130CA"/>
    <w:rsid w:val="26F2796A"/>
    <w:rsid w:val="277A1333"/>
    <w:rsid w:val="287844DA"/>
    <w:rsid w:val="290C6A42"/>
    <w:rsid w:val="29D03B05"/>
    <w:rsid w:val="2A8C0D0B"/>
    <w:rsid w:val="2B1716CE"/>
    <w:rsid w:val="2C9044BF"/>
    <w:rsid w:val="2E311BD0"/>
    <w:rsid w:val="2E4A590F"/>
    <w:rsid w:val="2E9F45B0"/>
    <w:rsid w:val="2EE82182"/>
    <w:rsid w:val="2F2F7C22"/>
    <w:rsid w:val="315372CC"/>
    <w:rsid w:val="31F219E6"/>
    <w:rsid w:val="32207918"/>
    <w:rsid w:val="325D3A78"/>
    <w:rsid w:val="32637295"/>
    <w:rsid w:val="32BF3B8D"/>
    <w:rsid w:val="32F36EA7"/>
    <w:rsid w:val="337C76E9"/>
    <w:rsid w:val="33AF1889"/>
    <w:rsid w:val="346E2CE3"/>
    <w:rsid w:val="35651098"/>
    <w:rsid w:val="35A878A5"/>
    <w:rsid w:val="36FD79CA"/>
    <w:rsid w:val="38137C9C"/>
    <w:rsid w:val="38163A8F"/>
    <w:rsid w:val="396143E0"/>
    <w:rsid w:val="3A02191F"/>
    <w:rsid w:val="3A463E10"/>
    <w:rsid w:val="3AFF61A3"/>
    <w:rsid w:val="3B785C82"/>
    <w:rsid w:val="3D973563"/>
    <w:rsid w:val="3E9305E9"/>
    <w:rsid w:val="3F933635"/>
    <w:rsid w:val="3FC30698"/>
    <w:rsid w:val="416D05CB"/>
    <w:rsid w:val="43264553"/>
    <w:rsid w:val="43285775"/>
    <w:rsid w:val="43C34E50"/>
    <w:rsid w:val="44786A70"/>
    <w:rsid w:val="45C12C53"/>
    <w:rsid w:val="45EF2759"/>
    <w:rsid w:val="47083327"/>
    <w:rsid w:val="47234594"/>
    <w:rsid w:val="496C5191"/>
    <w:rsid w:val="496E43BA"/>
    <w:rsid w:val="499D71E3"/>
    <w:rsid w:val="49FF4443"/>
    <w:rsid w:val="4A761B16"/>
    <w:rsid w:val="4ABB1DE6"/>
    <w:rsid w:val="4AF71F82"/>
    <w:rsid w:val="4CB63384"/>
    <w:rsid w:val="4D302450"/>
    <w:rsid w:val="4DA16EA9"/>
    <w:rsid w:val="4DF76AE3"/>
    <w:rsid w:val="4E06542A"/>
    <w:rsid w:val="4FDB6156"/>
    <w:rsid w:val="51C9057C"/>
    <w:rsid w:val="5291745F"/>
    <w:rsid w:val="533455C2"/>
    <w:rsid w:val="54146A42"/>
    <w:rsid w:val="54947768"/>
    <w:rsid w:val="56497633"/>
    <w:rsid w:val="56B05707"/>
    <w:rsid w:val="57415259"/>
    <w:rsid w:val="57FEA6A8"/>
    <w:rsid w:val="5A984D1F"/>
    <w:rsid w:val="5BA43FB8"/>
    <w:rsid w:val="5BD06B9D"/>
    <w:rsid w:val="5BF569AE"/>
    <w:rsid w:val="5CE10298"/>
    <w:rsid w:val="5D2D47A4"/>
    <w:rsid w:val="5D8D11F8"/>
    <w:rsid w:val="5DAF4C1B"/>
    <w:rsid w:val="5DAF7C14"/>
    <w:rsid w:val="5F7F1950"/>
    <w:rsid w:val="5FF62FE3"/>
    <w:rsid w:val="60033C5A"/>
    <w:rsid w:val="60EA02FE"/>
    <w:rsid w:val="610076CF"/>
    <w:rsid w:val="61C2556D"/>
    <w:rsid w:val="61EC1054"/>
    <w:rsid w:val="6229476C"/>
    <w:rsid w:val="62D86700"/>
    <w:rsid w:val="63232A71"/>
    <w:rsid w:val="64724482"/>
    <w:rsid w:val="654A1A2B"/>
    <w:rsid w:val="6608004F"/>
    <w:rsid w:val="664A237C"/>
    <w:rsid w:val="66937ABF"/>
    <w:rsid w:val="67CA26D1"/>
    <w:rsid w:val="68003928"/>
    <w:rsid w:val="69C65855"/>
    <w:rsid w:val="6A0D6AD9"/>
    <w:rsid w:val="6AB31398"/>
    <w:rsid w:val="6BDA58FF"/>
    <w:rsid w:val="6D7813AB"/>
    <w:rsid w:val="6DA106B5"/>
    <w:rsid w:val="6E2C2D9D"/>
    <w:rsid w:val="6F341871"/>
    <w:rsid w:val="6F7BB260"/>
    <w:rsid w:val="6F865AA7"/>
    <w:rsid w:val="704C7C5C"/>
    <w:rsid w:val="70AC3F07"/>
    <w:rsid w:val="71E317EE"/>
    <w:rsid w:val="720A54C5"/>
    <w:rsid w:val="738F33AD"/>
    <w:rsid w:val="73F76F74"/>
    <w:rsid w:val="757069D9"/>
    <w:rsid w:val="76AF3D12"/>
    <w:rsid w:val="779D7C27"/>
    <w:rsid w:val="7A461991"/>
    <w:rsid w:val="7AD021D9"/>
    <w:rsid w:val="7AF47901"/>
    <w:rsid w:val="7B477B38"/>
    <w:rsid w:val="7B781D1B"/>
    <w:rsid w:val="7BBD6CF5"/>
    <w:rsid w:val="7C0A1723"/>
    <w:rsid w:val="7C1437E1"/>
    <w:rsid w:val="7C5D6993"/>
    <w:rsid w:val="7CA6352C"/>
    <w:rsid w:val="7CC86220"/>
    <w:rsid w:val="7CF820C9"/>
    <w:rsid w:val="7D162BE6"/>
    <w:rsid w:val="7E282B4B"/>
    <w:rsid w:val="7EFA236D"/>
    <w:rsid w:val="7FAE7F02"/>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1496</Words>
  <Characters>1635</Characters>
  <Paragraphs>41</Paragraphs>
  <TotalTime>9</TotalTime>
  <ScaleCrop>false</ScaleCrop>
  <LinksUpToDate>false</LinksUpToDate>
  <CharactersWithSpaces>1711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2025-03-13T07:09:00Z</cp:lastPrinted>
  <dcterms:modified xsi:type="dcterms:W3CDTF">2025-07-15T02:09:15Z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