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C0695">
      <w:pPr>
        <w:keepNext w:val="0"/>
        <w:keepLines w:val="0"/>
        <w:pageBreakBefore w:val="0"/>
        <w:widowControl w:val="0"/>
        <w:kinsoku/>
        <w:wordWrap w:val="0"/>
        <w:overflowPunct/>
        <w:topLinePunct/>
        <w:autoSpaceDE/>
        <w:autoSpaceDN/>
        <w:bidi w:val="0"/>
        <w:adjustRightInd w:val="0"/>
        <w:snapToGrid w:val="0"/>
        <w:spacing w:line="576" w:lineRule="exact"/>
        <w:ind w:left="0" w:leftChars="0" w:right="0" w:rightChars="0" w:firstLine="0" w:firstLineChars="0"/>
        <w:jc w:val="both"/>
        <w:textAlignment w:val="auto"/>
        <w:outlineLvl w:val="9"/>
        <w:rPr>
          <w:rFonts w:hint="eastAsia" w:ascii="仿宋" w:hAnsi="仿宋" w:eastAsia="仿宋" w:cs="仿宋"/>
          <w:color w:val="000000"/>
          <w:w w:val="100"/>
          <w:sz w:val="32"/>
          <w:szCs w:val="32"/>
        </w:rPr>
      </w:pPr>
    </w:p>
    <w:p w14:paraId="49D8E186">
      <w:pPr>
        <w:keepNext w:val="0"/>
        <w:keepLines w:val="0"/>
        <w:pageBreakBefore w:val="0"/>
        <w:widowControl w:val="0"/>
        <w:kinsoku/>
        <w:wordWrap w:val="0"/>
        <w:overflowPunct/>
        <w:topLinePunct/>
        <w:autoSpaceDE/>
        <w:autoSpaceDN/>
        <w:bidi w:val="0"/>
        <w:adjustRightInd w:val="0"/>
        <w:snapToGrid w:val="0"/>
        <w:spacing w:line="576" w:lineRule="exact"/>
        <w:ind w:left="0" w:leftChars="0" w:right="0" w:rightChars="0" w:firstLine="0" w:firstLineChars="0"/>
        <w:jc w:val="both"/>
        <w:textAlignment w:val="auto"/>
        <w:outlineLvl w:val="9"/>
        <w:rPr>
          <w:rFonts w:hint="eastAsia" w:ascii="仿宋" w:hAnsi="仿宋" w:eastAsia="仿宋" w:cs="仿宋"/>
          <w:color w:val="000000"/>
          <w:w w:val="100"/>
          <w:sz w:val="32"/>
          <w:szCs w:val="32"/>
        </w:rPr>
      </w:pPr>
    </w:p>
    <w:p w14:paraId="4BF36C2C">
      <w:pPr>
        <w:keepNext w:val="0"/>
        <w:keepLines w:val="0"/>
        <w:pageBreakBefore w:val="0"/>
        <w:widowControl w:val="0"/>
        <w:kinsoku/>
        <w:wordWrap w:val="0"/>
        <w:overflowPunct/>
        <w:topLinePunct/>
        <w:autoSpaceDE/>
        <w:autoSpaceDN/>
        <w:bidi w:val="0"/>
        <w:adjustRightInd w:val="0"/>
        <w:snapToGrid w:val="0"/>
        <w:spacing w:line="576" w:lineRule="exact"/>
        <w:ind w:left="0" w:leftChars="0" w:right="0" w:rightChars="0" w:firstLine="0" w:firstLineChars="0"/>
        <w:jc w:val="both"/>
        <w:textAlignment w:val="auto"/>
        <w:outlineLvl w:val="9"/>
        <w:rPr>
          <w:rFonts w:hint="eastAsia" w:ascii="仿宋" w:hAnsi="仿宋" w:eastAsia="仿宋" w:cs="仿宋"/>
          <w:color w:val="000000"/>
          <w:w w:val="100"/>
          <w:sz w:val="32"/>
          <w:szCs w:val="32"/>
        </w:rPr>
      </w:pPr>
    </w:p>
    <w:p w14:paraId="71058C37">
      <w:pPr>
        <w:keepNext w:val="0"/>
        <w:keepLines w:val="0"/>
        <w:pageBreakBefore w:val="0"/>
        <w:widowControl w:val="0"/>
        <w:tabs>
          <w:tab w:val="left" w:pos="1276"/>
        </w:tabs>
        <w:kinsoku/>
        <w:wordWrap w:val="0"/>
        <w:overflowPunct/>
        <w:topLinePunct/>
        <w:autoSpaceDE/>
        <w:autoSpaceDN/>
        <w:bidi w:val="0"/>
        <w:adjustRightInd w:val="0"/>
        <w:snapToGrid w:val="0"/>
        <w:spacing w:line="576" w:lineRule="exact"/>
        <w:ind w:left="0" w:leftChars="0" w:right="0" w:rightChars="0" w:firstLine="0" w:firstLineChars="0"/>
        <w:jc w:val="right"/>
        <w:textAlignment w:val="auto"/>
        <w:outlineLvl w:val="9"/>
        <w:rPr>
          <w:rFonts w:hint="eastAsia" w:ascii="仿宋_GB2312" w:hAnsi="仿宋_GB2312" w:eastAsia="仿宋_GB2312" w:cs="仿宋_GB2312"/>
          <w:color w:val="000000"/>
          <w:w w:val="100"/>
          <w:sz w:val="32"/>
          <w:szCs w:val="32"/>
        </w:rPr>
      </w:pPr>
      <w:r>
        <w:rPr>
          <w:rFonts w:hint="eastAsia" w:ascii="仿宋_GB2312" w:hAnsi="仿宋_GB2312" w:eastAsia="仿宋_GB2312" w:cs="仿宋_GB2312"/>
          <w:color w:val="000000"/>
          <w:w w:val="100"/>
          <w:sz w:val="32"/>
          <w:szCs w:val="32"/>
        </w:rPr>
        <w:t>叶环</w:t>
      </w:r>
      <w:r>
        <w:rPr>
          <w:rFonts w:hint="eastAsia" w:ascii="仿宋_GB2312" w:hAnsi="仿宋_GB2312" w:eastAsia="仿宋_GB2312" w:cs="仿宋_GB2312"/>
          <w:color w:val="000000"/>
          <w:w w:val="100"/>
          <w:sz w:val="32"/>
          <w:szCs w:val="32"/>
          <w:lang w:eastAsia="zh-CN"/>
        </w:rPr>
        <w:t>评</w:t>
      </w:r>
      <w:r>
        <w:rPr>
          <w:rFonts w:hint="eastAsia" w:ascii="仿宋_GB2312" w:hAnsi="仿宋_GB2312" w:eastAsia="仿宋_GB2312" w:cs="仿宋_GB2312"/>
          <w:color w:val="000000"/>
          <w:w w:val="100"/>
          <w:sz w:val="32"/>
          <w:szCs w:val="32"/>
        </w:rPr>
        <w:t>〔</w:t>
      </w:r>
      <w:r>
        <w:rPr>
          <w:rFonts w:hint="eastAsia" w:ascii="Times New Roman" w:hAnsi="Times New Roman" w:eastAsia="仿宋_GB2312" w:cs="Times New Roman"/>
          <w:color w:val="000000"/>
          <w:w w:val="100"/>
          <w:sz w:val="32"/>
          <w:szCs w:val="32"/>
          <w:lang w:val="en-US" w:eastAsia="zh-CN"/>
        </w:rPr>
        <w:t>2025</w:t>
      </w:r>
      <w:r>
        <w:rPr>
          <w:rFonts w:hint="eastAsia" w:ascii="仿宋_GB2312" w:hAnsi="仿宋_GB2312" w:eastAsia="仿宋_GB2312" w:cs="仿宋_GB2312"/>
          <w:color w:val="000000"/>
          <w:w w:val="100"/>
          <w:sz w:val="32"/>
          <w:szCs w:val="32"/>
        </w:rPr>
        <w:t>〕</w:t>
      </w:r>
      <w:r>
        <w:rPr>
          <w:rFonts w:hint="eastAsia" w:ascii="Times New Roman" w:hAnsi="Times New Roman" w:eastAsia="仿宋_GB2312" w:cs="Times New Roman"/>
          <w:color w:val="auto"/>
          <w:w w:val="100"/>
          <w:sz w:val="32"/>
          <w:szCs w:val="32"/>
          <w:lang w:val="en-US" w:eastAsia="zh-CN"/>
        </w:rPr>
        <w:t>7</w:t>
      </w:r>
      <w:r>
        <w:rPr>
          <w:rFonts w:hint="eastAsia" w:ascii="仿宋_GB2312" w:hAnsi="仿宋_GB2312" w:eastAsia="仿宋_GB2312" w:cs="仿宋_GB2312"/>
          <w:color w:val="000000"/>
          <w:w w:val="100"/>
          <w:sz w:val="32"/>
          <w:szCs w:val="32"/>
        </w:rPr>
        <w:t>号</w:t>
      </w:r>
    </w:p>
    <w:p w14:paraId="387F1401">
      <w:pPr>
        <w:keepNext w:val="0"/>
        <w:keepLines w:val="0"/>
        <w:pageBreakBefore w:val="0"/>
        <w:widowControl w:val="0"/>
        <w:kinsoku/>
        <w:wordWrap w:val="0"/>
        <w:overflowPunct/>
        <w:topLinePunct/>
        <w:autoSpaceDE/>
        <w:autoSpaceDN/>
        <w:bidi w:val="0"/>
        <w:adjustRightInd w:val="0"/>
        <w:snapToGrid w:val="0"/>
        <w:spacing w:line="576" w:lineRule="exact"/>
        <w:ind w:left="0" w:leftChars="0" w:right="0" w:rightChars="0" w:firstLine="0" w:firstLineChars="0"/>
        <w:jc w:val="center"/>
        <w:textAlignment w:val="auto"/>
        <w:outlineLvl w:val="9"/>
        <w:rPr>
          <w:rFonts w:hint="eastAsia" w:ascii="黑体" w:hAnsi="黑体" w:eastAsia="黑体" w:cs="黑体"/>
          <w:b w:val="0"/>
          <w:bCs w:val="0"/>
          <w:color w:val="000000"/>
          <w:w w:val="100"/>
          <w:sz w:val="44"/>
          <w:szCs w:val="44"/>
        </w:rPr>
      </w:pPr>
    </w:p>
    <w:p w14:paraId="316A6129">
      <w:pPr>
        <w:pStyle w:val="7"/>
        <w:keepNext w:val="0"/>
        <w:keepLines w:val="0"/>
        <w:pageBreakBefore w:val="0"/>
        <w:widowControl w:val="0"/>
        <w:suppressLineNumbers w:val="0"/>
        <w:kinsoku/>
        <w:wordWrap w:val="0"/>
        <w:overflowPunct/>
        <w:topLinePunct/>
        <w:autoSpaceDE/>
        <w:autoSpaceDN/>
        <w:bidi w:val="0"/>
        <w:spacing w:before="0" w:beforeAutospacing="0" w:after="0" w:afterAutospacing="0" w:line="576"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napToGrid w:val="0"/>
          <w:color w:val="000000"/>
          <w:w w:val="100"/>
          <w:kern w:val="0"/>
          <w:sz w:val="44"/>
          <w:szCs w:val="44"/>
        </w:rPr>
      </w:pPr>
      <w:r>
        <w:rPr>
          <w:rFonts w:hint="eastAsia" w:ascii="方正小标宋简体" w:hAnsi="方正小标宋简体" w:eastAsia="方正小标宋简体" w:cs="方正小标宋简体"/>
          <w:w w:val="100"/>
          <w:sz w:val="44"/>
          <w:szCs w:val="44"/>
        </w:rPr>
        <w:t>六安市叶集区生态环境分局</w:t>
      </w:r>
      <w:r>
        <w:rPr>
          <w:rFonts w:hint="eastAsia" w:ascii="方正小标宋简体" w:hAnsi="方正小标宋简体" w:eastAsia="方正小标宋简体" w:cs="方正小标宋简体"/>
          <w:w w:val="100"/>
          <w:sz w:val="44"/>
          <w:szCs w:val="44"/>
          <w:lang w:eastAsia="zh-CN"/>
        </w:rPr>
        <w:t>关于《六安市壹洲新材料有限公司关于年产3000吨热塑性弹性体颗粒及制品项目</w:t>
      </w:r>
      <w:r>
        <w:rPr>
          <w:rFonts w:hint="eastAsia" w:ascii="方正小标宋简体" w:hAnsi="方正小标宋简体" w:eastAsia="方正小标宋简体" w:cs="方正小标宋简体"/>
          <w:w w:val="100"/>
          <w:sz w:val="44"/>
          <w:szCs w:val="44"/>
        </w:rPr>
        <w:t>环境影响报告表》的批复</w:t>
      </w:r>
    </w:p>
    <w:p w14:paraId="7F2D2BB7">
      <w:pPr>
        <w:keepNext w:val="0"/>
        <w:keepLines w:val="0"/>
        <w:pageBreakBefore w:val="0"/>
        <w:widowControl w:val="0"/>
        <w:kinsoku/>
        <w:wordWrap w:val="0"/>
        <w:overflowPunct/>
        <w:topLinePunct/>
        <w:autoSpaceDE/>
        <w:autoSpaceDN/>
        <w:bidi w:val="0"/>
        <w:adjustRightInd w:val="0"/>
        <w:snapToGrid w:val="0"/>
        <w:spacing w:beforeAutospacing="0" w:afterAutospacing="0" w:line="576" w:lineRule="exact"/>
        <w:ind w:left="0" w:leftChars="0" w:right="0" w:rightChars="0" w:firstLine="0" w:firstLineChars="0"/>
        <w:jc w:val="center"/>
        <w:textAlignment w:val="auto"/>
        <w:outlineLvl w:val="9"/>
        <w:rPr>
          <w:rFonts w:hint="eastAsia" w:ascii="仿宋_GB2312" w:hAnsi="仿宋_GB2312" w:eastAsia="仿宋_GB2312" w:cs="仿宋_GB2312"/>
          <w:color w:val="000000"/>
          <w:w w:val="100"/>
          <w:sz w:val="32"/>
          <w:szCs w:val="32"/>
        </w:rPr>
      </w:pPr>
    </w:p>
    <w:p w14:paraId="0F4C2B21">
      <w:pPr>
        <w:keepNext w:val="0"/>
        <w:keepLines w:val="0"/>
        <w:pageBreakBefore w:val="0"/>
        <w:widowControl w:val="0"/>
        <w:tabs>
          <w:tab w:val="left" w:pos="5433"/>
        </w:tabs>
        <w:kinsoku/>
        <w:wordWrap w:val="0"/>
        <w:overflowPunct/>
        <w:topLinePunct/>
        <w:autoSpaceDE/>
        <w:autoSpaceDN/>
        <w:bidi w:val="0"/>
        <w:adjustRightInd w:val="0"/>
        <w:snapToGrid w:val="0"/>
        <w:spacing w:line="576" w:lineRule="exact"/>
        <w:ind w:right="0" w:rightChars="0"/>
        <w:jc w:val="both"/>
        <w:textAlignment w:val="auto"/>
        <w:outlineLvl w:val="9"/>
        <w:rPr>
          <w:rFonts w:hint="eastAsia" w:ascii="仿宋_GB2312" w:hAnsi="仿宋_GB2312" w:eastAsia="仿宋_GB2312" w:cs="仿宋_GB2312"/>
          <w:color w:val="auto"/>
          <w:w w:val="100"/>
          <w:sz w:val="32"/>
          <w:szCs w:val="32"/>
          <w:lang w:eastAsia="zh-CN"/>
        </w:rPr>
      </w:pPr>
      <w:r>
        <w:rPr>
          <w:rFonts w:hint="eastAsia" w:ascii="仿宋_GB2312" w:hAnsi="仿宋_GB2312" w:eastAsia="仿宋_GB2312" w:cs="仿宋_GB2312"/>
          <w:color w:val="auto"/>
          <w:w w:val="100"/>
          <w:sz w:val="32"/>
          <w:szCs w:val="32"/>
          <w:lang w:eastAsia="zh-CN"/>
        </w:rPr>
        <w:t>六安市壹洲新材料有限公司：</w:t>
      </w:r>
      <w:r>
        <w:rPr>
          <w:rFonts w:hint="eastAsia" w:ascii="仿宋_GB2312" w:hAnsi="仿宋_GB2312" w:eastAsia="仿宋_GB2312" w:cs="仿宋_GB2312"/>
          <w:color w:val="auto"/>
          <w:w w:val="100"/>
          <w:sz w:val="32"/>
          <w:szCs w:val="32"/>
          <w:lang w:eastAsia="zh-CN"/>
        </w:rPr>
        <w:tab/>
      </w:r>
    </w:p>
    <w:p w14:paraId="54FBA1EF">
      <w:pPr>
        <w:keepNext w:val="0"/>
        <w:keepLines w:val="0"/>
        <w:pageBreakBefore w:val="0"/>
        <w:widowControl w:val="0"/>
        <w:kinsoku/>
        <w:wordWrap w:val="0"/>
        <w:overflowPunct/>
        <w:topLinePunct/>
        <w:autoSpaceDE/>
        <w:autoSpaceDN/>
        <w:bidi w:val="0"/>
        <w:adjustRightInd w:val="0"/>
        <w:snapToGrid w:val="0"/>
        <w:spacing w:line="576" w:lineRule="exact"/>
        <w:ind w:right="0" w:rightChars="0" w:firstLine="640" w:firstLineChars="200"/>
        <w:jc w:val="both"/>
        <w:textAlignment w:val="auto"/>
        <w:outlineLvl w:val="9"/>
        <w:rPr>
          <w:rFonts w:hint="eastAsia" w:ascii="仿宋_GB2312" w:hAnsi="仿宋_GB2312" w:eastAsia="仿宋_GB2312" w:cs="仿宋_GB2312"/>
          <w:color w:val="auto"/>
          <w:w w:val="100"/>
          <w:sz w:val="32"/>
          <w:szCs w:val="32"/>
          <w:lang w:val="en-US" w:eastAsia="zh-CN"/>
        </w:rPr>
      </w:pPr>
      <w:r>
        <w:rPr>
          <w:rFonts w:hint="eastAsia" w:ascii="仿宋_GB2312" w:hAnsi="仿宋_GB2312" w:eastAsia="仿宋_GB2312" w:cs="仿宋_GB2312"/>
          <w:color w:val="auto"/>
          <w:w w:val="100"/>
          <w:sz w:val="32"/>
          <w:szCs w:val="32"/>
        </w:rPr>
        <w:t>你</w:t>
      </w:r>
      <w:r>
        <w:rPr>
          <w:rFonts w:hint="eastAsia" w:ascii="仿宋_GB2312" w:hAnsi="仿宋_GB2312" w:eastAsia="仿宋_GB2312" w:cs="仿宋_GB2312"/>
          <w:color w:val="auto"/>
          <w:w w:val="100"/>
          <w:sz w:val="32"/>
          <w:szCs w:val="32"/>
          <w:lang w:eastAsia="zh-CN"/>
        </w:rPr>
        <w:t>公司</w:t>
      </w:r>
      <w:r>
        <w:rPr>
          <w:rFonts w:hint="eastAsia" w:ascii="仿宋_GB2312" w:hAnsi="仿宋_GB2312" w:eastAsia="仿宋_GB2312" w:cs="仿宋_GB2312"/>
          <w:color w:val="auto"/>
          <w:w w:val="100"/>
          <w:sz w:val="32"/>
          <w:szCs w:val="32"/>
        </w:rPr>
        <w:t>报送的《六安市壹洲新材料有限公司关于年产</w:t>
      </w:r>
      <w:r>
        <w:rPr>
          <w:rFonts w:hint="eastAsia" w:ascii="Times New Roman" w:hAnsi="Times New Roman" w:eastAsia="仿宋_GB2312" w:cs="Times New Roman"/>
          <w:color w:val="auto"/>
          <w:w w:val="100"/>
          <w:sz w:val="32"/>
          <w:szCs w:val="32"/>
          <w:lang w:eastAsia="zh-CN"/>
        </w:rPr>
        <w:t>3000</w:t>
      </w:r>
      <w:r>
        <w:rPr>
          <w:rFonts w:hint="eastAsia" w:ascii="仿宋_GB2312" w:hAnsi="仿宋_GB2312" w:eastAsia="仿宋_GB2312" w:cs="仿宋_GB2312"/>
          <w:color w:val="auto"/>
          <w:w w:val="100"/>
          <w:sz w:val="32"/>
          <w:szCs w:val="32"/>
        </w:rPr>
        <w:t>吨热塑性弹性体颗粒及制品项目环境影响报告表》收悉（以下简称《报告表》</w:t>
      </w:r>
      <w:r>
        <w:rPr>
          <w:rFonts w:hint="eastAsia" w:ascii="仿宋_GB2312" w:hAnsi="仿宋_GB2312" w:eastAsia="仿宋_GB2312" w:cs="仿宋_GB2312"/>
          <w:color w:val="auto"/>
          <w:w w:val="100"/>
          <w:sz w:val="32"/>
          <w:szCs w:val="32"/>
          <w:lang w:eastAsia="zh-CN"/>
        </w:rPr>
        <w:t>，项</w:t>
      </w:r>
      <w:r>
        <w:rPr>
          <w:rFonts w:hint="eastAsia" w:ascii="仿宋_GB2312" w:hAnsi="仿宋_GB2312" w:eastAsia="仿宋_GB2312" w:cs="仿宋_GB2312"/>
          <w:color w:val="auto"/>
          <w:w w:val="100"/>
          <w:sz w:val="32"/>
          <w:szCs w:val="32"/>
        </w:rPr>
        <w:t>目代码</w:t>
      </w:r>
      <w:r>
        <w:rPr>
          <w:rFonts w:hint="default" w:ascii="Times New Roman" w:hAnsi="Times New Roman" w:eastAsia="仿宋_GB2312" w:cs="Times New Roman"/>
          <w:color w:val="auto"/>
          <w:w w:val="100"/>
          <w:sz w:val="32"/>
          <w:szCs w:val="32"/>
        </w:rPr>
        <w:t>2412-341504-04-01-801340</w:t>
      </w:r>
      <w:r>
        <w:rPr>
          <w:rFonts w:hint="eastAsia" w:ascii="仿宋_GB2312" w:hAnsi="仿宋_GB2312" w:eastAsia="仿宋_GB2312" w:cs="仿宋_GB2312"/>
          <w:color w:val="auto"/>
          <w:w w:val="100"/>
          <w:sz w:val="32"/>
          <w:szCs w:val="32"/>
        </w:rPr>
        <w:t>）。项目位于安徽省六安市叶集区姚李工业园区，</w:t>
      </w:r>
      <w:r>
        <w:rPr>
          <w:rFonts w:hint="eastAsia" w:ascii="仿宋_GB2312" w:hAnsi="仿宋_GB2312" w:eastAsia="仿宋_GB2312" w:cs="仿宋_GB2312"/>
          <w:color w:val="auto"/>
          <w:w w:val="100"/>
          <w:sz w:val="32"/>
          <w:szCs w:val="32"/>
          <w:lang w:eastAsia="zh-CN"/>
        </w:rPr>
        <w:t>租赁安徽聚晨新材料科技有限公司</w:t>
      </w:r>
      <w:r>
        <w:rPr>
          <w:rFonts w:hint="eastAsia" w:ascii="Times New Roman" w:hAnsi="Times New Roman" w:eastAsia="仿宋_GB2312" w:cs="Times New Roman"/>
          <w:color w:val="auto"/>
          <w:w w:val="100"/>
          <w:sz w:val="32"/>
          <w:szCs w:val="32"/>
          <w:lang w:eastAsia="zh-CN"/>
        </w:rPr>
        <w:t>1#</w:t>
      </w:r>
      <w:r>
        <w:rPr>
          <w:rFonts w:hint="eastAsia" w:ascii="仿宋_GB2312" w:hAnsi="仿宋_GB2312" w:eastAsia="仿宋_GB2312" w:cs="仿宋_GB2312"/>
          <w:color w:val="auto"/>
          <w:w w:val="100"/>
          <w:sz w:val="32"/>
          <w:szCs w:val="32"/>
          <w:lang w:eastAsia="zh-CN"/>
        </w:rPr>
        <w:t>厂房，</w:t>
      </w:r>
      <w:r>
        <w:rPr>
          <w:rFonts w:hint="eastAsia" w:ascii="仿宋_GB2312" w:hAnsi="仿宋_GB2312" w:eastAsia="仿宋_GB2312" w:cs="仿宋_GB2312"/>
          <w:color w:val="auto"/>
          <w:w w:val="100"/>
          <w:sz w:val="32"/>
          <w:szCs w:val="32"/>
          <w:lang w:val="en-US" w:eastAsia="zh-CN"/>
        </w:rPr>
        <w:t>总</w:t>
      </w:r>
      <w:r>
        <w:rPr>
          <w:rFonts w:hint="eastAsia" w:ascii="仿宋_GB2312" w:hAnsi="仿宋_GB2312" w:eastAsia="仿宋_GB2312" w:cs="仿宋_GB2312"/>
          <w:color w:val="auto"/>
          <w:w w:val="100"/>
          <w:sz w:val="32"/>
          <w:szCs w:val="32"/>
          <w:lang w:eastAsia="zh-CN"/>
        </w:rPr>
        <w:t>建筑面积</w:t>
      </w:r>
      <w:r>
        <w:rPr>
          <w:rFonts w:hint="default" w:ascii="Times New Roman" w:hAnsi="Times New Roman" w:eastAsia="仿宋_GB2312" w:cs="Times New Roman"/>
          <w:color w:val="auto"/>
          <w:w w:val="100"/>
          <w:sz w:val="32"/>
          <w:szCs w:val="32"/>
          <w:lang w:eastAsia="zh-CN"/>
        </w:rPr>
        <w:t>1500m</w:t>
      </w:r>
      <w:r>
        <w:rPr>
          <w:rFonts w:hint="default" w:ascii="Times New Roman" w:hAnsi="Times New Roman" w:eastAsia="仿宋_GB2312" w:cs="Times New Roman"/>
          <w:color w:val="auto"/>
          <w:w w:val="100"/>
          <w:sz w:val="32"/>
          <w:szCs w:val="32"/>
          <w:vertAlign w:val="superscript"/>
          <w:lang w:eastAsia="zh-CN"/>
        </w:rPr>
        <w:t>2</w:t>
      </w:r>
      <w:r>
        <w:rPr>
          <w:rFonts w:hint="eastAsia" w:ascii="仿宋_GB2312" w:hAnsi="仿宋_GB2312" w:eastAsia="仿宋_GB2312" w:cs="仿宋_GB2312"/>
          <w:color w:val="auto"/>
          <w:w w:val="100"/>
          <w:sz w:val="32"/>
          <w:szCs w:val="32"/>
          <w:lang w:eastAsia="zh-CN"/>
        </w:rPr>
        <w:t>，</w:t>
      </w:r>
      <w:r>
        <w:rPr>
          <w:rFonts w:hint="eastAsia" w:ascii="仿宋_GB2312" w:hAnsi="仿宋_GB2312" w:eastAsia="仿宋_GB2312" w:cs="仿宋_GB2312"/>
          <w:color w:val="auto"/>
          <w:w w:val="100"/>
          <w:sz w:val="32"/>
          <w:szCs w:val="32"/>
          <w:lang w:val="en-US" w:eastAsia="zh-CN"/>
        </w:rPr>
        <w:t>购置</w:t>
      </w:r>
      <w:r>
        <w:rPr>
          <w:rFonts w:hint="eastAsia" w:ascii="仿宋_GB2312" w:hAnsi="仿宋_GB2312" w:eastAsia="仿宋_GB2312" w:cs="仿宋_GB2312"/>
          <w:color w:val="auto"/>
          <w:w w:val="100"/>
          <w:sz w:val="32"/>
          <w:szCs w:val="32"/>
          <w:lang w:eastAsia="zh-CN"/>
        </w:rPr>
        <w:t>密炼机、切粒机、注塑成型机等设备，建设热塑性弹性体颗粒及制品生产线，项目建成后可形成年产</w:t>
      </w:r>
      <w:r>
        <w:rPr>
          <w:rFonts w:hint="eastAsia" w:ascii="Times New Roman" w:hAnsi="Times New Roman" w:eastAsia="仿宋_GB2312" w:cs="Times New Roman"/>
          <w:color w:val="auto"/>
          <w:w w:val="100"/>
          <w:sz w:val="32"/>
          <w:szCs w:val="32"/>
          <w:lang w:eastAsia="zh-CN"/>
        </w:rPr>
        <w:t>3000</w:t>
      </w:r>
      <w:r>
        <w:rPr>
          <w:rFonts w:hint="eastAsia" w:ascii="仿宋_GB2312" w:hAnsi="仿宋_GB2312" w:eastAsia="仿宋_GB2312" w:cs="仿宋_GB2312"/>
          <w:color w:val="auto"/>
          <w:w w:val="100"/>
          <w:sz w:val="32"/>
          <w:szCs w:val="32"/>
          <w:lang w:eastAsia="zh-CN"/>
        </w:rPr>
        <w:t>吨热塑性弹性体颗粒及制品生产能力。项目</w:t>
      </w:r>
      <w:r>
        <w:rPr>
          <w:rFonts w:hint="eastAsia" w:ascii="仿宋_GB2312" w:hAnsi="仿宋_GB2312" w:eastAsia="仿宋_GB2312" w:cs="仿宋_GB2312"/>
          <w:color w:val="auto"/>
          <w:w w:val="100"/>
          <w:sz w:val="32"/>
          <w:szCs w:val="32"/>
          <w:lang w:val="en-US" w:eastAsia="zh-CN"/>
        </w:rPr>
        <w:t>总投资</w:t>
      </w:r>
      <w:r>
        <w:rPr>
          <w:rFonts w:hint="eastAsia" w:ascii="Times New Roman" w:hAnsi="Times New Roman" w:eastAsia="仿宋_GB2312" w:cs="Times New Roman"/>
          <w:color w:val="auto"/>
          <w:w w:val="100"/>
          <w:sz w:val="32"/>
          <w:szCs w:val="32"/>
          <w:lang w:val="en-US" w:eastAsia="zh-CN"/>
        </w:rPr>
        <w:t>600</w:t>
      </w:r>
      <w:r>
        <w:rPr>
          <w:rFonts w:hint="eastAsia" w:ascii="仿宋_GB2312" w:hAnsi="仿宋_GB2312" w:eastAsia="仿宋_GB2312" w:cs="仿宋_GB2312"/>
          <w:color w:val="auto"/>
          <w:w w:val="100"/>
          <w:sz w:val="32"/>
          <w:szCs w:val="32"/>
          <w:lang w:val="en-US" w:eastAsia="zh-CN"/>
        </w:rPr>
        <w:t>万元，其中环保投资</w:t>
      </w:r>
      <w:r>
        <w:rPr>
          <w:rFonts w:hint="eastAsia" w:ascii="Times New Roman" w:hAnsi="Times New Roman" w:eastAsia="仿宋_GB2312" w:cs="Times New Roman"/>
          <w:color w:val="auto"/>
          <w:w w:val="100"/>
          <w:sz w:val="32"/>
          <w:szCs w:val="32"/>
          <w:lang w:val="en-US" w:eastAsia="zh-CN"/>
        </w:rPr>
        <w:t>50</w:t>
      </w:r>
      <w:r>
        <w:rPr>
          <w:rFonts w:hint="eastAsia" w:ascii="仿宋_GB2312" w:hAnsi="仿宋_GB2312" w:eastAsia="仿宋_GB2312" w:cs="仿宋_GB2312"/>
          <w:color w:val="auto"/>
          <w:w w:val="100"/>
          <w:sz w:val="32"/>
          <w:szCs w:val="32"/>
          <w:lang w:val="en-US" w:eastAsia="zh-CN"/>
        </w:rPr>
        <w:t>万元。根据《中华人民共和国环境影响评价法》等有关法律法规规定，现批复如下：</w:t>
      </w:r>
    </w:p>
    <w:p w14:paraId="24D15157">
      <w:pPr>
        <w:keepNext w:val="0"/>
        <w:keepLines w:val="0"/>
        <w:pageBreakBefore w:val="0"/>
        <w:widowControl w:val="0"/>
        <w:numPr>
          <w:ilvl w:val="0"/>
          <w:numId w:val="1"/>
        </w:numPr>
        <w:kinsoku/>
        <w:wordWrap w:val="0"/>
        <w:overflowPunct/>
        <w:topLinePunct/>
        <w:autoSpaceDE/>
        <w:autoSpaceDN/>
        <w:bidi w:val="0"/>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在全面落实《报告表》和本批复提出的各项污染防治措施后，该项目所产生的不利环境影响可以得到缓解和控制，我局原则同意《报告表》结论及其提出的环境保护设施。</w:t>
      </w:r>
    </w:p>
    <w:p w14:paraId="7ECFC215">
      <w:pPr>
        <w:keepNext w:val="0"/>
        <w:keepLines w:val="0"/>
        <w:pageBreakBefore w:val="0"/>
        <w:widowControl w:val="0"/>
        <w:kinsoku/>
        <w:wordWrap w:val="0"/>
        <w:overflowPunct/>
        <w:topLinePunct/>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二、在项目建设和运行管理过程中应重点做好以下工作： </w:t>
      </w:r>
    </w:p>
    <w:p w14:paraId="0F768847">
      <w:pPr>
        <w:keepNext w:val="0"/>
        <w:keepLines w:val="0"/>
        <w:pageBreakBefore w:val="0"/>
        <w:widowControl w:val="0"/>
        <w:kinsoku/>
        <w:wordWrap w:val="0"/>
        <w:overflowPunct/>
        <w:topLinePunct/>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000000"/>
          <w:w w:val="100"/>
          <w:sz w:val="32"/>
          <w:szCs w:val="32"/>
          <w:lang w:val="en-US" w:eastAsia="zh-CN"/>
        </w:rPr>
        <w:t>1.</w:t>
      </w:r>
      <w:r>
        <w:rPr>
          <w:rFonts w:hint="eastAsia" w:ascii="仿宋_GB2312" w:hAnsi="仿宋_GB2312" w:eastAsia="仿宋_GB2312" w:cs="仿宋_GB2312"/>
          <w:sz w:val="32"/>
          <w:szCs w:val="32"/>
          <w:lang w:val="en-US" w:eastAsia="zh-CN"/>
        </w:rPr>
        <w:t>加强施工期环境管理，全面落实施工期各项污染防治和环境保护措施，文明施工，减小噪声等污染。</w:t>
      </w:r>
    </w:p>
    <w:p w14:paraId="096FE8C4">
      <w:pPr>
        <w:keepNext w:val="0"/>
        <w:keepLines w:val="0"/>
        <w:pageBreakBefore w:val="0"/>
        <w:widowControl w:val="0"/>
        <w:kinsoku/>
        <w:wordWrap w:val="0"/>
        <w:overflowPunct/>
        <w:topLinePunct/>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Times New Roman" w:hAnsi="Times New Roman" w:eastAsia="仿宋_GB2312" w:cs="Times New Roman"/>
          <w:color w:val="000000"/>
          <w:w w:val="100"/>
          <w:sz w:val="32"/>
          <w:szCs w:val="32"/>
          <w:lang w:val="en-US" w:eastAsia="zh-CN"/>
        </w:rPr>
        <w:t>2.</w:t>
      </w:r>
      <w:r>
        <w:rPr>
          <w:rFonts w:hint="eastAsia" w:ascii="仿宋_GB2312" w:hAnsi="仿宋_GB2312" w:eastAsia="仿宋_GB2312" w:cs="仿宋_GB2312"/>
          <w:sz w:val="32"/>
          <w:szCs w:val="32"/>
          <w:lang w:val="en-US" w:eastAsia="zh-CN"/>
        </w:rPr>
        <w:t>落实项目内部废水处置措施。</w:t>
      </w:r>
      <w:r>
        <w:rPr>
          <w:rFonts w:hint="eastAsia" w:ascii="仿宋_GB2312" w:hAnsi="仿宋_GB2312" w:eastAsia="仿宋_GB2312" w:cs="仿宋_GB2312"/>
          <w:color w:val="auto"/>
          <w:sz w:val="32"/>
          <w:szCs w:val="32"/>
          <w:lang w:val="en-US" w:eastAsia="zh-CN"/>
        </w:rPr>
        <w:t>项目生活污水经化粪池预处理后，与定期更换的循环冷却水一并通过市政管网,进入安徽六安叶集经济开发区姚李工业园一体化工业污水处理设施处理后达标排放。项目运营期污水排放执行《橡胶制品工业污染物排放标准》（</w:t>
      </w:r>
      <w:r>
        <w:rPr>
          <w:rFonts w:hint="default" w:ascii="Times New Roman" w:hAnsi="Times New Roman" w:eastAsia="仿宋_GB2312" w:cs="Times New Roman"/>
          <w:color w:val="auto"/>
          <w:sz w:val="32"/>
          <w:szCs w:val="32"/>
          <w:lang w:val="en-US" w:eastAsia="zh-CN"/>
        </w:rPr>
        <w:t>GB 27632-2011</w:t>
      </w:r>
      <w:r>
        <w:rPr>
          <w:rFonts w:hint="eastAsia" w:ascii="仿宋_GB2312" w:hAnsi="仿宋_GB2312" w:eastAsia="仿宋_GB2312" w:cs="仿宋_GB2312"/>
          <w:color w:val="auto"/>
          <w:sz w:val="32"/>
          <w:szCs w:val="32"/>
          <w:lang w:val="en-US" w:eastAsia="zh-CN"/>
        </w:rPr>
        <w:t>）表</w:t>
      </w:r>
      <w:r>
        <w:rPr>
          <w:rFonts w:hint="eastAsia" w:ascii="Times New Roman" w:hAnsi="Times New Roman" w:eastAsia="仿宋_GB2312" w:cs="Times New Roman"/>
          <w:color w:val="auto"/>
          <w:sz w:val="32"/>
          <w:szCs w:val="32"/>
          <w:lang w:val="en-US" w:eastAsia="zh-CN"/>
        </w:rPr>
        <w:t>2</w:t>
      </w:r>
      <w:r>
        <w:rPr>
          <w:rFonts w:hint="eastAsia" w:ascii="仿宋_GB2312" w:hAnsi="仿宋_GB2312" w:eastAsia="仿宋_GB2312" w:cs="仿宋_GB2312"/>
          <w:color w:val="auto"/>
          <w:sz w:val="32"/>
          <w:szCs w:val="32"/>
          <w:lang w:val="en-US" w:eastAsia="zh-CN"/>
        </w:rPr>
        <w:t>中的间接排放限值及安徽六安叶集经济开发区姚李工业园一体化工业污水处理设施接管要求。</w:t>
      </w:r>
    </w:p>
    <w:p w14:paraId="5FA944BF">
      <w:pPr>
        <w:keepNext w:val="0"/>
        <w:keepLines w:val="0"/>
        <w:pageBreakBefore w:val="0"/>
        <w:widowControl w:val="0"/>
        <w:kinsoku/>
        <w:wordWrap w:val="0"/>
        <w:overflowPunct/>
        <w:topLinePunct/>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Times New Roman" w:hAnsi="Times New Roman" w:eastAsia="仿宋_GB2312" w:cs="Times New Roman"/>
          <w:color w:val="auto"/>
          <w:w w:val="100"/>
          <w:sz w:val="32"/>
          <w:szCs w:val="32"/>
          <w:lang w:val="en-US" w:eastAsia="zh-CN"/>
        </w:rPr>
        <w:t>3.</w:t>
      </w:r>
      <w:r>
        <w:rPr>
          <w:rFonts w:hint="eastAsia" w:ascii="仿宋_GB2312" w:hAnsi="仿宋_GB2312" w:eastAsia="仿宋_GB2312" w:cs="仿宋_GB2312"/>
          <w:color w:val="auto"/>
          <w:sz w:val="32"/>
          <w:szCs w:val="32"/>
          <w:lang w:val="en-US" w:eastAsia="zh-CN"/>
        </w:rPr>
        <w:t>严格落实《报告表》中提出的废气防治方案。密炼机上料口、切粒机上料口、密炼输送工序上方均设置集气罩，密炼废气通过中央集气管道收集，经“布袋除尘器+过滤棉+二级活性炭吸</w:t>
      </w:r>
      <w:r>
        <w:rPr>
          <w:rFonts w:hint="eastAsia" w:ascii="仿宋_GB2312" w:hAnsi="仿宋_GB2312" w:eastAsia="仿宋_GB2312" w:cs="仿宋_GB2312"/>
          <w:sz w:val="32"/>
          <w:szCs w:val="32"/>
          <w:lang w:val="en-US" w:eastAsia="zh-CN"/>
        </w:rPr>
        <w:t>附”装置处理后，通过</w:t>
      </w:r>
      <w:r>
        <w:rPr>
          <w:rFonts w:hint="eastAsia" w:ascii="Times New Roman" w:hAnsi="Times New Roman" w:eastAsia="仿宋_GB2312" w:cs="Times New Roman"/>
          <w:color w:val="auto"/>
          <w:w w:val="100"/>
          <w:sz w:val="32"/>
          <w:szCs w:val="32"/>
          <w:lang w:val="en-US" w:eastAsia="zh-CN"/>
        </w:rPr>
        <w:t>15m</w:t>
      </w:r>
      <w:r>
        <w:rPr>
          <w:rFonts w:hint="eastAsia" w:ascii="仿宋_GB2312" w:hAnsi="仿宋_GB2312" w:eastAsia="仿宋_GB2312" w:cs="仿宋_GB2312"/>
          <w:sz w:val="32"/>
          <w:szCs w:val="32"/>
          <w:lang w:val="en-US" w:eastAsia="zh-CN"/>
        </w:rPr>
        <w:t>高排气筒（</w:t>
      </w:r>
      <w:r>
        <w:rPr>
          <w:rFonts w:hint="eastAsia" w:ascii="Times New Roman" w:hAnsi="Times New Roman" w:eastAsia="仿宋_GB2312" w:cs="Times New Roman"/>
          <w:color w:val="auto"/>
          <w:w w:val="100"/>
          <w:sz w:val="32"/>
          <w:szCs w:val="32"/>
          <w:lang w:val="en-US" w:eastAsia="zh-CN"/>
        </w:rPr>
        <w:t>DA001</w:t>
      </w:r>
      <w:r>
        <w:rPr>
          <w:rFonts w:hint="eastAsia" w:ascii="仿宋_GB2312" w:hAnsi="仿宋_GB2312" w:eastAsia="仿宋_GB2312" w:cs="仿宋_GB2312"/>
          <w:color w:val="auto"/>
          <w:sz w:val="32"/>
          <w:szCs w:val="32"/>
          <w:lang w:val="en-US" w:eastAsia="zh-CN"/>
        </w:rPr>
        <w:t>）排放；注塑成型</w:t>
      </w:r>
      <w:r>
        <w:rPr>
          <w:rFonts w:hint="eastAsia" w:ascii="仿宋_GB2312" w:hAnsi="仿宋_GB2312" w:eastAsia="仿宋_GB2312" w:cs="仿宋_GB2312"/>
          <w:sz w:val="32"/>
          <w:szCs w:val="32"/>
          <w:lang w:val="en-US" w:eastAsia="zh-CN"/>
        </w:rPr>
        <w:t>废气通过中央集气管道收集，经“过滤棉+二级活性炭吸附”装置处理后，通过</w:t>
      </w:r>
      <w:r>
        <w:rPr>
          <w:rFonts w:hint="eastAsia" w:ascii="Times New Roman" w:hAnsi="Times New Roman" w:eastAsia="仿宋_GB2312" w:cs="Times New Roman"/>
          <w:color w:val="auto"/>
          <w:w w:val="100"/>
          <w:sz w:val="32"/>
          <w:szCs w:val="32"/>
          <w:lang w:val="en-US" w:eastAsia="zh-CN"/>
        </w:rPr>
        <w:t>15m</w:t>
      </w:r>
      <w:r>
        <w:rPr>
          <w:rFonts w:hint="eastAsia" w:ascii="仿宋_GB2312" w:hAnsi="仿宋_GB2312" w:eastAsia="仿宋_GB2312" w:cs="仿宋_GB2312"/>
          <w:sz w:val="32"/>
          <w:szCs w:val="32"/>
          <w:lang w:val="en-US" w:eastAsia="zh-CN"/>
        </w:rPr>
        <w:t>高排气筒（</w:t>
      </w:r>
      <w:r>
        <w:rPr>
          <w:rFonts w:hint="eastAsia" w:ascii="Times New Roman" w:hAnsi="Times New Roman" w:eastAsia="仿宋_GB2312" w:cs="Times New Roman"/>
          <w:color w:val="auto"/>
          <w:w w:val="100"/>
          <w:sz w:val="32"/>
          <w:szCs w:val="32"/>
          <w:lang w:val="en-US" w:eastAsia="zh-CN"/>
        </w:rPr>
        <w:t>DA002</w:t>
      </w:r>
      <w:r>
        <w:rPr>
          <w:rFonts w:hint="eastAsia" w:ascii="仿宋_GB2312" w:hAnsi="仿宋_GB2312" w:eastAsia="仿宋_GB2312" w:cs="仿宋_GB2312"/>
          <w:color w:val="auto"/>
          <w:sz w:val="32"/>
          <w:szCs w:val="32"/>
          <w:lang w:val="en-US" w:eastAsia="zh-CN"/>
        </w:rPr>
        <w:t>）排放。</w:t>
      </w:r>
      <w:bookmarkStart w:id="0" w:name="_GoBack"/>
      <w:bookmarkEnd w:id="0"/>
    </w:p>
    <w:p w14:paraId="0D53452E">
      <w:pPr>
        <w:keepNext w:val="0"/>
        <w:keepLines w:val="0"/>
        <w:pageBreakBefore w:val="0"/>
        <w:widowControl w:val="0"/>
        <w:kinsoku/>
        <w:wordWrap w:val="0"/>
        <w:overflowPunct/>
        <w:topLinePunct/>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项目运营期密炼工段非甲烷总烃有组织排放执行《固定源挥发性有机物综合排放标准 第</w:t>
      </w:r>
      <w:r>
        <w:rPr>
          <w:rFonts w:hint="eastAsia" w:ascii="Times New Roman" w:hAnsi="Times New Roman" w:eastAsia="仿宋_GB2312" w:cs="Times New Roman"/>
          <w:color w:val="auto"/>
          <w:w w:val="100"/>
          <w:sz w:val="32"/>
          <w:szCs w:val="32"/>
          <w:lang w:val="en-US" w:eastAsia="zh-CN"/>
        </w:rPr>
        <w:t>6</w:t>
      </w:r>
      <w:r>
        <w:rPr>
          <w:rFonts w:hint="eastAsia" w:ascii="仿宋_GB2312" w:hAnsi="仿宋_GB2312" w:eastAsia="仿宋_GB2312" w:cs="仿宋_GB2312"/>
          <w:color w:val="auto"/>
          <w:sz w:val="32"/>
          <w:szCs w:val="32"/>
          <w:highlight w:val="none"/>
          <w:lang w:val="en-US" w:eastAsia="zh-CN"/>
        </w:rPr>
        <w:t>部分：其他行业》（</w:t>
      </w:r>
      <w:r>
        <w:rPr>
          <w:rFonts w:hint="eastAsia" w:ascii="Times New Roman" w:hAnsi="Times New Roman" w:eastAsia="仿宋_GB2312" w:cs="Times New Roman"/>
          <w:color w:val="auto"/>
          <w:w w:val="100"/>
          <w:sz w:val="32"/>
          <w:szCs w:val="32"/>
          <w:lang w:val="en-US" w:eastAsia="zh-CN"/>
        </w:rPr>
        <w:t>DB34/4812.6-2024</w:t>
      </w:r>
      <w:r>
        <w:rPr>
          <w:rFonts w:hint="eastAsia" w:ascii="仿宋_GB2312" w:hAnsi="仿宋_GB2312" w:eastAsia="仿宋_GB2312" w:cs="仿宋_GB2312"/>
          <w:color w:val="auto"/>
          <w:sz w:val="32"/>
          <w:szCs w:val="32"/>
          <w:highlight w:val="none"/>
          <w:lang w:val="en-US" w:eastAsia="zh-CN"/>
        </w:rPr>
        <w:t>）表</w:t>
      </w:r>
      <w:r>
        <w:rPr>
          <w:rFonts w:hint="eastAsia" w:ascii="Times New Roman" w:hAnsi="Times New Roman" w:eastAsia="仿宋_GB2312" w:cs="Times New Roman"/>
          <w:color w:val="auto"/>
          <w:w w:val="100"/>
          <w:sz w:val="32"/>
          <w:szCs w:val="32"/>
          <w:lang w:val="en-US" w:eastAsia="zh-CN"/>
        </w:rPr>
        <w:t>1</w:t>
      </w:r>
      <w:r>
        <w:rPr>
          <w:rFonts w:hint="eastAsia" w:ascii="仿宋_GB2312" w:hAnsi="仿宋_GB2312" w:eastAsia="仿宋_GB2312" w:cs="仿宋_GB2312"/>
          <w:color w:val="auto"/>
          <w:sz w:val="32"/>
          <w:szCs w:val="32"/>
          <w:highlight w:val="none"/>
          <w:lang w:val="en-US" w:eastAsia="zh-CN"/>
        </w:rPr>
        <w:t>中相关限值，颗粒物有组织排放执行《橡胶制品工业污染物排放标准》（</w:t>
      </w:r>
      <w:r>
        <w:rPr>
          <w:rFonts w:hint="eastAsia" w:ascii="Times New Roman" w:hAnsi="Times New Roman" w:eastAsia="仿宋_GB2312" w:cs="Times New Roman"/>
          <w:color w:val="auto"/>
          <w:w w:val="100"/>
          <w:sz w:val="32"/>
          <w:szCs w:val="32"/>
          <w:lang w:val="en-US" w:eastAsia="zh-CN"/>
        </w:rPr>
        <w:t>GB27632-2011</w:t>
      </w:r>
      <w:r>
        <w:rPr>
          <w:rFonts w:hint="eastAsia" w:ascii="仿宋_GB2312" w:hAnsi="仿宋_GB2312" w:eastAsia="仿宋_GB2312" w:cs="仿宋_GB2312"/>
          <w:color w:val="auto"/>
          <w:sz w:val="32"/>
          <w:szCs w:val="32"/>
          <w:highlight w:val="none"/>
          <w:lang w:val="en-US" w:eastAsia="zh-CN"/>
        </w:rPr>
        <w:t>）表</w:t>
      </w:r>
      <w:r>
        <w:rPr>
          <w:rFonts w:hint="eastAsia" w:ascii="Times New Roman" w:hAnsi="Times New Roman" w:eastAsia="仿宋_GB2312" w:cs="Times New Roman"/>
          <w:color w:val="auto"/>
          <w:w w:val="100"/>
          <w:sz w:val="32"/>
          <w:szCs w:val="32"/>
          <w:lang w:val="en-US" w:eastAsia="zh-CN"/>
        </w:rPr>
        <w:t>5</w:t>
      </w:r>
      <w:r>
        <w:rPr>
          <w:rFonts w:hint="eastAsia" w:ascii="仿宋_GB2312" w:hAnsi="仿宋_GB2312" w:eastAsia="仿宋_GB2312" w:cs="仿宋_GB2312"/>
          <w:color w:val="auto"/>
          <w:sz w:val="32"/>
          <w:szCs w:val="32"/>
          <w:highlight w:val="none"/>
          <w:lang w:val="en-US" w:eastAsia="zh-CN"/>
        </w:rPr>
        <w:t>中相关限值；注塑工段非甲烷总烃有组织排放执行《固定源挥发性有机物综合排放标准 第</w:t>
      </w:r>
      <w:r>
        <w:rPr>
          <w:rFonts w:hint="eastAsia" w:ascii="Times New Roman" w:hAnsi="Times New Roman" w:eastAsia="仿宋_GB2312" w:cs="Times New Roman"/>
          <w:color w:val="auto"/>
          <w:w w:val="100"/>
          <w:sz w:val="32"/>
          <w:szCs w:val="32"/>
          <w:lang w:val="en-US" w:eastAsia="zh-CN"/>
        </w:rPr>
        <w:t>6</w:t>
      </w:r>
      <w:r>
        <w:rPr>
          <w:rFonts w:hint="eastAsia" w:ascii="仿宋_GB2312" w:hAnsi="仿宋_GB2312" w:eastAsia="仿宋_GB2312" w:cs="仿宋_GB2312"/>
          <w:color w:val="auto"/>
          <w:sz w:val="32"/>
          <w:szCs w:val="32"/>
          <w:highlight w:val="none"/>
          <w:lang w:val="en-US" w:eastAsia="zh-CN"/>
        </w:rPr>
        <w:t>部分：其他行业》（</w:t>
      </w:r>
      <w:r>
        <w:rPr>
          <w:rFonts w:hint="eastAsia" w:ascii="Times New Roman" w:hAnsi="Times New Roman" w:eastAsia="仿宋_GB2312" w:cs="Times New Roman"/>
          <w:color w:val="auto"/>
          <w:w w:val="100"/>
          <w:sz w:val="32"/>
          <w:szCs w:val="32"/>
          <w:lang w:val="en-US" w:eastAsia="zh-CN"/>
        </w:rPr>
        <w:t>DB34/4812.6-2024</w:t>
      </w:r>
      <w:r>
        <w:rPr>
          <w:rFonts w:hint="eastAsia" w:ascii="仿宋_GB2312" w:hAnsi="仿宋_GB2312" w:eastAsia="仿宋_GB2312" w:cs="仿宋_GB2312"/>
          <w:color w:val="auto"/>
          <w:sz w:val="32"/>
          <w:szCs w:val="32"/>
          <w:highlight w:val="none"/>
          <w:lang w:val="en-US" w:eastAsia="zh-CN"/>
        </w:rPr>
        <w:t>）表</w:t>
      </w:r>
      <w:r>
        <w:rPr>
          <w:rFonts w:hint="eastAsia" w:ascii="Times New Roman" w:hAnsi="Times New Roman" w:eastAsia="仿宋_GB2312" w:cs="Times New Roman"/>
          <w:color w:val="auto"/>
          <w:w w:val="100"/>
          <w:sz w:val="32"/>
          <w:szCs w:val="32"/>
          <w:lang w:val="en-US" w:eastAsia="zh-CN"/>
        </w:rPr>
        <w:t>1</w:t>
      </w:r>
      <w:r>
        <w:rPr>
          <w:rFonts w:hint="eastAsia" w:ascii="仿宋_GB2312" w:hAnsi="仿宋_GB2312" w:eastAsia="仿宋_GB2312" w:cs="仿宋_GB2312"/>
          <w:color w:val="auto"/>
          <w:sz w:val="32"/>
          <w:szCs w:val="32"/>
          <w:highlight w:val="none"/>
          <w:lang w:val="en-US" w:eastAsia="zh-CN"/>
        </w:rPr>
        <w:t>中相关限值，同时满足《合成树脂工业污染物排标准》（</w:t>
      </w:r>
      <w:r>
        <w:rPr>
          <w:rFonts w:hint="eastAsia" w:ascii="Times New Roman" w:hAnsi="Times New Roman" w:eastAsia="仿宋_GB2312" w:cs="Times New Roman"/>
          <w:color w:val="auto"/>
          <w:w w:val="100"/>
          <w:sz w:val="32"/>
          <w:szCs w:val="32"/>
          <w:lang w:val="en-US" w:eastAsia="zh-CN"/>
        </w:rPr>
        <w:t>GB31572-2015</w:t>
      </w:r>
      <w:r>
        <w:rPr>
          <w:rFonts w:hint="eastAsia" w:ascii="仿宋_GB2312" w:hAnsi="仿宋_GB2312" w:eastAsia="仿宋_GB2312" w:cs="仿宋_GB2312"/>
          <w:color w:val="auto"/>
          <w:sz w:val="32"/>
          <w:szCs w:val="32"/>
          <w:highlight w:val="none"/>
          <w:lang w:val="en-US" w:eastAsia="zh-CN"/>
        </w:rPr>
        <w:t>（含</w:t>
      </w:r>
      <w:r>
        <w:rPr>
          <w:rFonts w:hint="eastAsia" w:ascii="Times New Roman" w:hAnsi="Times New Roman" w:eastAsia="仿宋_GB2312" w:cs="Times New Roman"/>
          <w:color w:val="auto"/>
          <w:w w:val="100"/>
          <w:sz w:val="32"/>
          <w:szCs w:val="32"/>
          <w:lang w:val="en-US" w:eastAsia="zh-CN"/>
        </w:rPr>
        <w:t>2024</w:t>
      </w:r>
      <w:r>
        <w:rPr>
          <w:rFonts w:hint="eastAsia" w:ascii="仿宋_GB2312" w:hAnsi="仿宋_GB2312" w:eastAsia="仿宋_GB2312" w:cs="仿宋_GB2312"/>
          <w:color w:val="auto"/>
          <w:sz w:val="32"/>
          <w:szCs w:val="32"/>
          <w:highlight w:val="none"/>
          <w:lang w:val="en-US" w:eastAsia="zh-CN"/>
        </w:rPr>
        <w:t>修改单））中单位产品排放限值；苯乙烯、臭气浓度有组织排放执行《恶臭污染物排放标准》</w:t>
      </w:r>
      <w:r>
        <w:rPr>
          <w:rFonts w:hint="eastAsia" w:ascii="Times New Roman" w:hAnsi="Times New Roman" w:eastAsia="仿宋_GB2312" w:cs="Times New Roman"/>
          <w:color w:val="auto"/>
          <w:w w:val="100"/>
          <w:sz w:val="32"/>
          <w:szCs w:val="32"/>
          <w:lang w:val="en-US" w:eastAsia="zh-CN"/>
        </w:rPr>
        <w:t>（GB 14544-93）</w:t>
      </w:r>
      <w:r>
        <w:rPr>
          <w:rFonts w:hint="eastAsia" w:ascii="仿宋_GB2312" w:hAnsi="仿宋_GB2312" w:eastAsia="仿宋_GB2312" w:cs="仿宋_GB2312"/>
          <w:color w:val="auto"/>
          <w:sz w:val="32"/>
          <w:szCs w:val="32"/>
          <w:highlight w:val="none"/>
          <w:lang w:val="en-US" w:eastAsia="zh-CN"/>
        </w:rPr>
        <w:t>表</w:t>
      </w:r>
      <w:r>
        <w:rPr>
          <w:rFonts w:hint="eastAsia" w:ascii="Times New Roman" w:hAnsi="Times New Roman" w:eastAsia="仿宋_GB2312" w:cs="Times New Roman"/>
          <w:color w:val="auto"/>
          <w:w w:val="100"/>
          <w:sz w:val="32"/>
          <w:szCs w:val="32"/>
          <w:lang w:val="en-US" w:eastAsia="zh-CN"/>
        </w:rPr>
        <w:t>2</w:t>
      </w:r>
      <w:r>
        <w:rPr>
          <w:rFonts w:hint="eastAsia" w:ascii="仿宋_GB2312" w:hAnsi="仿宋_GB2312" w:eastAsia="仿宋_GB2312" w:cs="仿宋_GB2312"/>
          <w:color w:val="auto"/>
          <w:sz w:val="32"/>
          <w:szCs w:val="32"/>
          <w:highlight w:val="none"/>
          <w:lang w:val="en-US" w:eastAsia="zh-CN"/>
        </w:rPr>
        <w:t>中相关限值。厂区内非甲烷总烃无组织排放执行《固定源挥发性有机物综合排放标准 第</w:t>
      </w:r>
      <w:r>
        <w:rPr>
          <w:rFonts w:hint="eastAsia" w:ascii="Times New Roman" w:hAnsi="Times New Roman" w:eastAsia="仿宋_GB2312" w:cs="Times New Roman"/>
          <w:color w:val="auto"/>
          <w:w w:val="100"/>
          <w:sz w:val="32"/>
          <w:szCs w:val="32"/>
          <w:lang w:val="en-US" w:eastAsia="zh-CN"/>
        </w:rPr>
        <w:t>6</w:t>
      </w:r>
      <w:r>
        <w:rPr>
          <w:rFonts w:hint="eastAsia" w:ascii="仿宋_GB2312" w:hAnsi="仿宋_GB2312" w:eastAsia="仿宋_GB2312" w:cs="仿宋_GB2312"/>
          <w:color w:val="auto"/>
          <w:sz w:val="32"/>
          <w:szCs w:val="32"/>
          <w:highlight w:val="none"/>
          <w:lang w:val="en-US" w:eastAsia="zh-CN"/>
        </w:rPr>
        <w:t>部分：其他行业》（</w:t>
      </w:r>
      <w:r>
        <w:rPr>
          <w:rFonts w:hint="eastAsia" w:ascii="Times New Roman" w:hAnsi="Times New Roman" w:eastAsia="仿宋_GB2312" w:cs="Times New Roman"/>
          <w:color w:val="auto"/>
          <w:w w:val="100"/>
          <w:sz w:val="32"/>
          <w:szCs w:val="32"/>
          <w:lang w:val="en-US" w:eastAsia="zh-CN"/>
        </w:rPr>
        <w:t>DB34/4812.6-2024</w:t>
      </w:r>
      <w:r>
        <w:rPr>
          <w:rFonts w:hint="eastAsia" w:ascii="仿宋_GB2312" w:hAnsi="仿宋_GB2312" w:eastAsia="仿宋_GB2312" w:cs="仿宋_GB2312"/>
          <w:color w:val="auto"/>
          <w:sz w:val="32"/>
          <w:szCs w:val="32"/>
          <w:highlight w:val="none"/>
          <w:lang w:val="en-US" w:eastAsia="zh-CN"/>
        </w:rPr>
        <w:t>）表</w:t>
      </w:r>
      <w:r>
        <w:rPr>
          <w:rFonts w:hint="eastAsia" w:ascii="Times New Roman" w:hAnsi="Times New Roman" w:eastAsia="仿宋_GB2312" w:cs="Times New Roman"/>
          <w:color w:val="auto"/>
          <w:w w:val="100"/>
          <w:sz w:val="32"/>
          <w:szCs w:val="32"/>
          <w:lang w:val="en-US" w:eastAsia="zh-CN"/>
        </w:rPr>
        <w:t>4</w:t>
      </w:r>
      <w:r>
        <w:rPr>
          <w:rFonts w:hint="eastAsia" w:ascii="仿宋_GB2312" w:hAnsi="仿宋_GB2312" w:eastAsia="仿宋_GB2312" w:cs="仿宋_GB2312"/>
          <w:color w:val="auto"/>
          <w:sz w:val="32"/>
          <w:szCs w:val="32"/>
          <w:highlight w:val="none"/>
          <w:lang w:val="en-US" w:eastAsia="zh-CN"/>
        </w:rPr>
        <w:t>中相关限值。厂界非甲烷总烃、颗粒物无组织排放执行《合成树脂工业污染物排放标准》（</w:t>
      </w:r>
      <w:r>
        <w:rPr>
          <w:rFonts w:hint="eastAsia" w:ascii="Times New Roman" w:hAnsi="Times New Roman" w:eastAsia="仿宋_GB2312" w:cs="Times New Roman"/>
          <w:color w:val="auto"/>
          <w:w w:val="100"/>
          <w:sz w:val="32"/>
          <w:szCs w:val="32"/>
          <w:lang w:val="en-US" w:eastAsia="zh-CN"/>
        </w:rPr>
        <w:t>GB31572-2015</w:t>
      </w:r>
      <w:r>
        <w:rPr>
          <w:rFonts w:hint="eastAsia" w:ascii="仿宋_GB2312" w:hAnsi="仿宋_GB2312" w:eastAsia="仿宋_GB2312" w:cs="仿宋_GB2312"/>
          <w:color w:val="auto"/>
          <w:sz w:val="32"/>
          <w:szCs w:val="32"/>
          <w:highlight w:val="none"/>
          <w:lang w:val="en-US" w:eastAsia="zh-CN"/>
        </w:rPr>
        <w:t>（含</w:t>
      </w:r>
      <w:r>
        <w:rPr>
          <w:rFonts w:hint="eastAsia" w:ascii="Times New Roman" w:hAnsi="Times New Roman" w:eastAsia="仿宋_GB2312" w:cs="Times New Roman"/>
          <w:color w:val="auto"/>
          <w:w w:val="100"/>
          <w:sz w:val="32"/>
          <w:szCs w:val="32"/>
          <w:lang w:val="en-US" w:eastAsia="zh-CN"/>
        </w:rPr>
        <w:t>2024</w:t>
      </w:r>
      <w:r>
        <w:rPr>
          <w:rFonts w:hint="eastAsia" w:ascii="仿宋_GB2312" w:hAnsi="仿宋_GB2312" w:eastAsia="仿宋_GB2312" w:cs="仿宋_GB2312"/>
          <w:color w:val="auto"/>
          <w:sz w:val="32"/>
          <w:szCs w:val="32"/>
          <w:highlight w:val="none"/>
          <w:lang w:val="en-US" w:eastAsia="zh-CN"/>
        </w:rPr>
        <w:t>修改单））表</w:t>
      </w:r>
      <w:r>
        <w:rPr>
          <w:rFonts w:hint="eastAsia" w:ascii="Times New Roman" w:hAnsi="Times New Roman" w:eastAsia="仿宋_GB2312" w:cs="Times New Roman"/>
          <w:color w:val="auto"/>
          <w:w w:val="100"/>
          <w:sz w:val="32"/>
          <w:szCs w:val="32"/>
          <w:lang w:val="en-US" w:eastAsia="zh-CN"/>
        </w:rPr>
        <w:t>9</w:t>
      </w:r>
      <w:r>
        <w:rPr>
          <w:rFonts w:hint="eastAsia" w:ascii="仿宋_GB2312" w:hAnsi="仿宋_GB2312" w:eastAsia="仿宋_GB2312" w:cs="仿宋_GB2312"/>
          <w:color w:val="auto"/>
          <w:sz w:val="32"/>
          <w:szCs w:val="32"/>
          <w:highlight w:val="none"/>
          <w:lang w:val="en-US" w:eastAsia="zh-CN"/>
        </w:rPr>
        <w:t>中相关限值，苯乙烯、臭气浓度无组织排放执行《恶臭污染物排放标准》（</w:t>
      </w:r>
      <w:r>
        <w:rPr>
          <w:rFonts w:hint="eastAsia" w:ascii="Times New Roman" w:hAnsi="Times New Roman" w:eastAsia="仿宋_GB2312" w:cs="Times New Roman"/>
          <w:color w:val="auto"/>
          <w:w w:val="100"/>
          <w:sz w:val="32"/>
          <w:szCs w:val="32"/>
          <w:lang w:val="en-US" w:eastAsia="zh-CN"/>
        </w:rPr>
        <w:t>GB 14544-93</w:t>
      </w:r>
      <w:r>
        <w:rPr>
          <w:rFonts w:hint="eastAsia" w:ascii="仿宋_GB2312" w:hAnsi="仿宋_GB2312" w:eastAsia="仿宋_GB2312" w:cs="仿宋_GB2312"/>
          <w:color w:val="auto"/>
          <w:sz w:val="32"/>
          <w:szCs w:val="32"/>
          <w:highlight w:val="none"/>
          <w:lang w:val="en-US" w:eastAsia="zh-CN"/>
        </w:rPr>
        <w:t>）表</w:t>
      </w:r>
      <w:r>
        <w:rPr>
          <w:rFonts w:hint="eastAsia" w:ascii="Times New Roman" w:hAnsi="Times New Roman" w:eastAsia="仿宋_GB2312" w:cs="Times New Roman"/>
          <w:color w:val="auto"/>
          <w:w w:val="100"/>
          <w:sz w:val="32"/>
          <w:szCs w:val="32"/>
          <w:lang w:val="en-US" w:eastAsia="zh-CN"/>
        </w:rPr>
        <w:t>1</w:t>
      </w:r>
      <w:r>
        <w:rPr>
          <w:rFonts w:hint="eastAsia" w:ascii="仿宋_GB2312" w:hAnsi="仿宋_GB2312" w:eastAsia="仿宋_GB2312" w:cs="仿宋_GB2312"/>
          <w:color w:val="auto"/>
          <w:sz w:val="32"/>
          <w:szCs w:val="32"/>
          <w:highlight w:val="none"/>
          <w:lang w:val="en-US" w:eastAsia="zh-CN"/>
        </w:rPr>
        <w:t>中相关限值。</w:t>
      </w:r>
    </w:p>
    <w:p w14:paraId="0811606E">
      <w:pPr>
        <w:keepNext w:val="0"/>
        <w:keepLines w:val="0"/>
        <w:pageBreakBefore w:val="0"/>
        <w:widowControl w:val="0"/>
        <w:kinsoku/>
        <w:wordWrap w:val="0"/>
        <w:overflowPunct/>
        <w:topLinePunct/>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000000"/>
          <w:w w:val="100"/>
          <w:sz w:val="32"/>
          <w:szCs w:val="32"/>
          <w:lang w:val="en-US" w:eastAsia="zh-CN"/>
        </w:rPr>
        <w:t>4.</w:t>
      </w:r>
      <w:r>
        <w:rPr>
          <w:rFonts w:hint="eastAsia" w:ascii="仿宋_GB2312" w:hAnsi="仿宋_GB2312" w:eastAsia="仿宋_GB2312" w:cs="仿宋_GB2312"/>
          <w:sz w:val="32"/>
          <w:szCs w:val="32"/>
          <w:lang w:val="en-US" w:eastAsia="zh-CN"/>
        </w:rPr>
        <w:t>优化布局，选用低噪设备，采取减振、隔声、消声等措施减小噪声污染，确保厂界噪声排放执行《工业企业厂界环境噪声排放标准》</w:t>
      </w:r>
      <w:r>
        <w:rPr>
          <w:rFonts w:hint="eastAsia" w:ascii="Times New Roman" w:hAnsi="Times New Roman" w:eastAsia="仿宋_GB2312" w:cs="Times New Roman"/>
          <w:color w:val="auto"/>
          <w:w w:val="100"/>
          <w:sz w:val="32"/>
          <w:szCs w:val="32"/>
          <w:lang w:val="en-US" w:eastAsia="zh-CN"/>
        </w:rPr>
        <w:t>（GB12348-2008）</w:t>
      </w:r>
      <w:r>
        <w:rPr>
          <w:rFonts w:hint="eastAsia" w:ascii="仿宋_GB2312" w:hAnsi="仿宋_GB2312" w:eastAsia="仿宋_GB2312" w:cs="仿宋_GB2312"/>
          <w:sz w:val="32"/>
          <w:szCs w:val="32"/>
          <w:lang w:val="en-US" w:eastAsia="zh-CN"/>
        </w:rPr>
        <w:t>中</w:t>
      </w:r>
      <w:r>
        <w:rPr>
          <w:rFonts w:hint="eastAsia" w:ascii="Times New Roman" w:hAnsi="Times New Roman" w:eastAsia="仿宋_GB2312" w:cs="Times New Roman"/>
          <w:sz w:val="32"/>
          <w:szCs w:val="32"/>
          <w:lang w:val="en-US" w:eastAsia="zh-CN"/>
        </w:rPr>
        <w:t>3</w:t>
      </w:r>
      <w:r>
        <w:rPr>
          <w:rFonts w:hint="eastAsia" w:ascii="仿宋_GB2312" w:hAnsi="仿宋_GB2312" w:eastAsia="仿宋_GB2312" w:cs="仿宋_GB2312"/>
          <w:sz w:val="32"/>
          <w:szCs w:val="32"/>
          <w:lang w:val="en-US" w:eastAsia="zh-CN"/>
        </w:rPr>
        <w:t>类区标准。</w:t>
      </w:r>
    </w:p>
    <w:p w14:paraId="025852F8">
      <w:pPr>
        <w:keepNext w:val="0"/>
        <w:keepLines w:val="0"/>
        <w:pageBreakBefore w:val="0"/>
        <w:widowControl w:val="0"/>
        <w:kinsoku/>
        <w:wordWrap w:val="0"/>
        <w:overflowPunct/>
        <w:topLinePunct/>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000000"/>
          <w:w w:val="100"/>
          <w:sz w:val="32"/>
          <w:szCs w:val="32"/>
          <w:lang w:val="en-US" w:eastAsia="zh-CN"/>
        </w:rPr>
        <w:t>5.</w:t>
      </w:r>
      <w:r>
        <w:rPr>
          <w:rFonts w:hint="eastAsia" w:ascii="仿宋_GB2312" w:hAnsi="仿宋_GB2312" w:eastAsia="仿宋_GB2312" w:cs="仿宋_GB2312"/>
          <w:sz w:val="32"/>
          <w:szCs w:val="32"/>
          <w:lang w:val="en-US" w:eastAsia="zh-CN"/>
        </w:rPr>
        <w:t>做好固体废物的分类暂存、转运、无害化处置工作。项目运营后产生的生活垃圾由环卫部门统一清运处理；废边角料等一般工业固体废物分类收集后暂存于一般工业固废暂存区，外售综合利用或厂家回收；废活性炭等危险废物</w:t>
      </w:r>
      <w:r>
        <w:rPr>
          <w:rFonts w:ascii="仿宋_GB2312" w:hAnsi="仿宋_GB2312" w:eastAsia="仿宋_GB2312" w:cs="仿宋_GB2312"/>
          <w:b w:val="0"/>
          <w:bCs w:val="0"/>
          <w:color w:val="000000"/>
          <w:sz w:val="31"/>
          <w:szCs w:val="31"/>
        </w:rPr>
        <w:t>应按照</w:t>
      </w:r>
      <w:r>
        <w:rPr>
          <w:rFonts w:hint="eastAsia" w:ascii="仿宋_GB2312" w:hAnsi="仿宋_GB2312" w:eastAsia="仿宋_GB2312" w:cs="仿宋_GB2312"/>
          <w:b w:val="0"/>
          <w:bCs w:val="0"/>
          <w:color w:val="000000"/>
          <w:sz w:val="31"/>
          <w:szCs w:val="31"/>
          <w:lang w:eastAsia="zh-CN"/>
        </w:rPr>
        <w:t>《</w:t>
      </w:r>
      <w:r>
        <w:rPr>
          <w:rFonts w:ascii="仿宋_GB2312" w:hAnsi="仿宋_GB2312" w:eastAsia="仿宋_GB2312" w:cs="仿宋_GB2312"/>
          <w:b w:val="0"/>
          <w:bCs w:val="0"/>
          <w:color w:val="000000"/>
          <w:sz w:val="31"/>
          <w:szCs w:val="31"/>
        </w:rPr>
        <w:t>危险废物贮存污染控制标准》</w:t>
      </w:r>
      <w:r>
        <w:rPr>
          <w:rFonts w:hint="eastAsia" w:ascii="仿宋_GB2312" w:hAnsi="仿宋_GB2312" w:eastAsia="仿宋_GB2312" w:cs="仿宋_GB2312"/>
          <w:b w:val="0"/>
          <w:bCs w:val="0"/>
          <w:color w:val="000000"/>
          <w:sz w:val="31"/>
          <w:szCs w:val="31"/>
          <w:lang w:eastAsia="zh-CN"/>
        </w:rPr>
        <w:t>（</w:t>
      </w:r>
      <w:r>
        <w:rPr>
          <w:rFonts w:hint="eastAsia" w:ascii="Times New Roman" w:hAnsi="Times New Roman" w:eastAsia="仿宋_GB2312" w:cs="Times New Roman"/>
          <w:color w:val="auto"/>
          <w:w w:val="100"/>
          <w:sz w:val="32"/>
          <w:szCs w:val="32"/>
          <w:lang w:val="en-US" w:eastAsia="zh-CN"/>
        </w:rPr>
        <w:t>GB18597-2023</w:t>
      </w:r>
      <w:r>
        <w:rPr>
          <w:rFonts w:ascii="仿宋_GB2312" w:hAnsi="仿宋_GB2312" w:eastAsia="仿宋_GB2312" w:cs="仿宋_GB2312"/>
          <w:b w:val="0"/>
          <w:bCs w:val="0"/>
          <w:color w:val="000000"/>
          <w:sz w:val="31"/>
          <w:szCs w:val="31"/>
        </w:rPr>
        <w:t>）、《危险废物识别标志</w:t>
      </w:r>
      <w:r>
        <w:rPr>
          <w:rFonts w:hint="eastAsia" w:ascii="仿宋_GB2312" w:hAnsi="仿宋_GB2312" w:eastAsia="仿宋_GB2312" w:cs="仿宋_GB2312"/>
          <w:b w:val="0"/>
          <w:bCs w:val="0"/>
          <w:color w:val="000000"/>
          <w:sz w:val="31"/>
          <w:szCs w:val="31"/>
          <w:lang w:val="en-US" w:eastAsia="zh-CN"/>
        </w:rPr>
        <w:t>设置</w:t>
      </w:r>
      <w:r>
        <w:rPr>
          <w:rFonts w:ascii="仿宋_GB2312" w:hAnsi="仿宋_GB2312" w:eastAsia="仿宋_GB2312" w:cs="仿宋_GB2312"/>
          <w:b w:val="0"/>
          <w:bCs w:val="0"/>
          <w:color w:val="000000"/>
          <w:sz w:val="31"/>
          <w:szCs w:val="31"/>
        </w:rPr>
        <w:t>技术规范》（</w:t>
      </w:r>
      <w:r>
        <w:rPr>
          <w:rFonts w:hint="eastAsia" w:ascii="Times New Roman" w:hAnsi="Times New Roman" w:eastAsia="仿宋_GB2312" w:cs="Times New Roman"/>
          <w:color w:val="auto"/>
          <w:w w:val="100"/>
          <w:sz w:val="32"/>
          <w:szCs w:val="32"/>
          <w:lang w:val="en-US" w:eastAsia="zh-CN"/>
        </w:rPr>
        <w:t>HJ1276-2022）</w:t>
      </w:r>
      <w:r>
        <w:rPr>
          <w:rFonts w:ascii="仿宋_GB2312" w:hAnsi="仿宋_GB2312" w:eastAsia="仿宋_GB2312" w:cs="仿宋_GB2312"/>
          <w:b w:val="0"/>
          <w:bCs w:val="0"/>
          <w:color w:val="000000"/>
          <w:sz w:val="31"/>
          <w:szCs w:val="31"/>
        </w:rPr>
        <w:t>和《危险废物转移管理办法》中规定</w:t>
      </w:r>
      <w:r>
        <w:rPr>
          <w:rFonts w:hint="eastAsia" w:ascii="仿宋_GB2312" w:hAnsi="仿宋_GB2312" w:eastAsia="仿宋_GB2312" w:cs="仿宋_GB2312"/>
          <w:b w:val="0"/>
          <w:bCs w:val="0"/>
          <w:color w:val="000000"/>
          <w:sz w:val="31"/>
          <w:szCs w:val="31"/>
          <w:lang w:eastAsia="zh-CN"/>
        </w:rPr>
        <w:t>，</w:t>
      </w:r>
      <w:r>
        <w:rPr>
          <w:rFonts w:ascii="仿宋_GB2312" w:hAnsi="仿宋_GB2312" w:eastAsia="仿宋_GB2312" w:cs="仿宋_GB2312"/>
          <w:b w:val="0"/>
          <w:bCs w:val="0"/>
          <w:color w:val="000000"/>
          <w:sz w:val="31"/>
          <w:szCs w:val="31"/>
        </w:rPr>
        <w:t>分类分区规范暂存于危废暂存</w:t>
      </w:r>
      <w:r>
        <w:rPr>
          <w:rFonts w:hint="eastAsia" w:ascii="仿宋_GB2312" w:hAnsi="仿宋_GB2312" w:eastAsia="仿宋_GB2312" w:cs="仿宋_GB2312"/>
          <w:b w:val="0"/>
          <w:bCs w:val="0"/>
          <w:color w:val="000000"/>
          <w:sz w:val="31"/>
          <w:szCs w:val="31"/>
          <w:lang w:val="en-US" w:eastAsia="zh-CN"/>
        </w:rPr>
        <w:t>间</w:t>
      </w:r>
      <w:r>
        <w:rPr>
          <w:rFonts w:ascii="仿宋_GB2312" w:hAnsi="仿宋_GB2312" w:eastAsia="仿宋_GB2312" w:cs="仿宋_GB2312"/>
          <w:b w:val="0"/>
          <w:bCs w:val="0"/>
          <w:color w:val="000000"/>
          <w:sz w:val="31"/>
          <w:szCs w:val="31"/>
        </w:rPr>
        <w:t>，并</w:t>
      </w:r>
      <w:r>
        <w:rPr>
          <w:rFonts w:hint="eastAsia" w:ascii="仿宋_GB2312" w:hAnsi="仿宋_GB2312" w:eastAsia="仿宋_GB2312" w:cs="仿宋_GB2312"/>
          <w:sz w:val="32"/>
          <w:szCs w:val="32"/>
          <w:lang w:val="en-US" w:eastAsia="zh-CN"/>
        </w:rPr>
        <w:t>定期委托有资质单位合法处置。</w:t>
      </w:r>
    </w:p>
    <w:p w14:paraId="3E1764BD">
      <w:pPr>
        <w:keepNext w:val="0"/>
        <w:keepLines w:val="0"/>
        <w:pageBreakBefore w:val="0"/>
        <w:widowControl w:val="0"/>
        <w:kinsoku/>
        <w:wordWrap w:val="0"/>
        <w:overflowPunct/>
        <w:topLinePunct/>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000000"/>
          <w:w w:val="100"/>
          <w:sz w:val="32"/>
          <w:szCs w:val="32"/>
          <w:lang w:val="en-US" w:eastAsia="zh-CN"/>
        </w:rPr>
        <w:t>6.</w:t>
      </w:r>
      <w:r>
        <w:rPr>
          <w:rFonts w:hint="eastAsia" w:ascii="仿宋_GB2312" w:hAnsi="仿宋_GB2312" w:eastAsia="仿宋_GB2312" w:cs="仿宋_GB2312"/>
          <w:sz w:val="32"/>
          <w:szCs w:val="32"/>
          <w:lang w:val="en-US" w:eastAsia="zh-CN"/>
        </w:rPr>
        <w:t>落实《报告表》中提出的土壤、地下水防治措施，落实分区防渗要求。</w:t>
      </w:r>
    </w:p>
    <w:p w14:paraId="76C8E441">
      <w:pPr>
        <w:keepNext w:val="0"/>
        <w:keepLines w:val="0"/>
        <w:pageBreakBefore w:val="0"/>
        <w:widowControl w:val="0"/>
        <w:kinsoku/>
        <w:wordWrap w:val="0"/>
        <w:overflowPunct/>
        <w:topLinePunct/>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建设必须严格执行环境保护“三同时”管理要求。工程竣工后，应及时履行环境保护竣工验收手续，并将相关信息对社会公开。项目建成运营前，应按照法律规定和生态环境部门要求，及时履行排污许可手续。</w:t>
      </w:r>
    </w:p>
    <w:p w14:paraId="6813D2A6">
      <w:pPr>
        <w:keepNext w:val="0"/>
        <w:keepLines w:val="0"/>
        <w:pageBreakBefore w:val="0"/>
        <w:widowControl w:val="0"/>
        <w:kinsoku/>
        <w:wordWrap w:val="0"/>
        <w:overflowPunct/>
        <w:topLinePunct/>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建设单位在项目建设、运营过程中须严格遵守规划、安全生产等相关法律法规规定，不得产生破坏生态环境等违法行为，加强风险防控，编制突发环境事件应急预案并定期演练，避免风险事故对周边环境造成不利影响。</w:t>
      </w:r>
    </w:p>
    <w:p w14:paraId="2F8D5155">
      <w:pPr>
        <w:keepNext w:val="0"/>
        <w:keepLines w:val="0"/>
        <w:pageBreakBefore w:val="0"/>
        <w:widowControl w:val="0"/>
        <w:kinsoku/>
        <w:wordWrap w:val="0"/>
        <w:overflowPunct/>
        <w:topLinePunct/>
        <w:autoSpaceDE/>
        <w:autoSpaceDN/>
        <w:bidi w:val="0"/>
        <w:spacing w:line="576"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五、建设项目的环境影响评价文件经批准后，建设项目的性质、规模、地点、工艺或者环境保护措施发生重大变动时，建设单位应当重新报批建设项目的环境影响评价文件。                     </w:t>
      </w:r>
    </w:p>
    <w:p w14:paraId="51C2FD0F">
      <w:pPr>
        <w:keepNext w:val="0"/>
        <w:keepLines w:val="0"/>
        <w:pageBreakBefore w:val="0"/>
        <w:widowControl w:val="0"/>
        <w:kinsoku/>
        <w:wordWrap w:val="0"/>
        <w:overflowPunct/>
        <w:topLinePunct/>
        <w:autoSpaceDE/>
        <w:autoSpaceDN/>
        <w:bidi w:val="0"/>
        <w:spacing w:line="576" w:lineRule="exact"/>
        <w:jc w:val="center"/>
        <w:textAlignment w:val="auto"/>
        <w:rPr>
          <w:rFonts w:hint="eastAsia" w:ascii="仿宋_GB2312" w:hAnsi="仿宋_GB2312" w:eastAsia="仿宋_GB2312" w:cs="仿宋_GB2312"/>
          <w:sz w:val="32"/>
          <w:szCs w:val="32"/>
          <w:lang w:val="en-US" w:eastAsia="zh-CN"/>
        </w:rPr>
      </w:pPr>
    </w:p>
    <w:p w14:paraId="33557738">
      <w:pPr>
        <w:keepNext w:val="0"/>
        <w:keepLines w:val="0"/>
        <w:pageBreakBefore w:val="0"/>
        <w:widowControl w:val="0"/>
        <w:kinsoku/>
        <w:wordWrap w:val="0"/>
        <w:overflowPunct/>
        <w:topLinePunct/>
        <w:autoSpaceDE/>
        <w:autoSpaceDN/>
        <w:bidi w:val="0"/>
        <w:spacing w:line="576"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六安市叶集区生态环境分局</w:t>
      </w:r>
    </w:p>
    <w:p w14:paraId="102CFD2B">
      <w:pPr>
        <w:keepNext w:val="0"/>
        <w:keepLines w:val="0"/>
        <w:pageBreakBefore w:val="0"/>
        <w:widowControl w:val="0"/>
        <w:kinsoku/>
        <w:wordWrap w:val="0"/>
        <w:overflowPunct/>
        <w:topLinePunct/>
        <w:autoSpaceDE/>
        <w:autoSpaceDN/>
        <w:bidi w:val="0"/>
        <w:spacing w:line="576"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Times New Roman" w:hAnsi="Times New Roman" w:eastAsia="仿宋_GB2312" w:cs="Times New Roman"/>
          <w:color w:val="auto"/>
          <w:w w:val="100"/>
          <w:sz w:val="32"/>
          <w:szCs w:val="32"/>
          <w:lang w:val="en-US" w:eastAsia="zh-CN"/>
        </w:rPr>
        <w:t xml:space="preserve"> 2025</w:t>
      </w:r>
      <w:r>
        <w:rPr>
          <w:rFonts w:hint="eastAsia" w:ascii="仿宋_GB2312" w:hAnsi="仿宋_GB2312" w:eastAsia="仿宋_GB2312" w:cs="仿宋_GB2312"/>
          <w:sz w:val="32"/>
          <w:szCs w:val="32"/>
          <w:lang w:val="en-US" w:eastAsia="zh-CN"/>
        </w:rPr>
        <w:t>年</w:t>
      </w:r>
      <w:r>
        <w:rPr>
          <w:rFonts w:hint="eastAsia" w:ascii="Times New Roman" w:hAnsi="Times New Roman" w:eastAsia="仿宋_GB2312" w:cs="Times New Roman"/>
          <w:color w:val="000000"/>
          <w:w w:val="100"/>
          <w:sz w:val="32"/>
          <w:szCs w:val="32"/>
          <w:lang w:val="en-US" w:eastAsia="zh-CN"/>
        </w:rPr>
        <w:t>6</w:t>
      </w:r>
      <w:r>
        <w:rPr>
          <w:rFonts w:hint="eastAsia" w:ascii="仿宋_GB2312" w:hAnsi="仿宋_GB2312" w:eastAsia="仿宋_GB2312" w:cs="仿宋_GB2312"/>
          <w:sz w:val="32"/>
          <w:szCs w:val="32"/>
          <w:lang w:val="en-US" w:eastAsia="zh-CN"/>
        </w:rPr>
        <w:t>月</w:t>
      </w:r>
      <w:r>
        <w:rPr>
          <w:rFonts w:hint="default" w:ascii="Times New Roman" w:hAnsi="Times New Roman" w:eastAsia="仿宋_GB2312" w:cs="Times New Roman"/>
          <w:sz w:val="32"/>
          <w:szCs w:val="32"/>
          <w:lang w:val="en-US" w:eastAsia="zh-CN"/>
        </w:rPr>
        <w:t>13</w:t>
      </w:r>
      <w:r>
        <w:rPr>
          <w:rFonts w:hint="eastAsia" w:ascii="仿宋_GB2312" w:hAnsi="仿宋_GB2312" w:eastAsia="仿宋_GB2312" w:cs="仿宋_GB2312"/>
          <w:sz w:val="32"/>
          <w:szCs w:val="32"/>
          <w:lang w:val="en-US" w:eastAsia="zh-CN"/>
        </w:rPr>
        <w:t>日</w:t>
      </w:r>
    </w:p>
    <w:p w14:paraId="2F2F9806">
      <w:pPr>
        <w:keepNext w:val="0"/>
        <w:keepLines w:val="0"/>
        <w:pageBreakBefore w:val="0"/>
        <w:widowControl w:val="0"/>
        <w:kinsoku/>
        <w:wordWrap w:val="0"/>
        <w:overflowPunct/>
        <w:topLinePunct/>
        <w:autoSpaceDE/>
        <w:autoSpaceDN/>
        <w:bidi w:val="0"/>
        <w:spacing w:line="576" w:lineRule="exact"/>
        <w:jc w:val="left"/>
        <w:textAlignment w:val="auto"/>
        <w:rPr>
          <w:rFonts w:hint="eastAsia" w:ascii="仿宋_GB2312" w:hAnsi="仿宋_GB2312" w:eastAsia="仿宋_GB2312" w:cs="仿宋_GB2312"/>
          <w:sz w:val="32"/>
          <w:szCs w:val="32"/>
          <w:lang w:val="en-US" w:eastAsia="zh-CN"/>
        </w:rPr>
      </w:pPr>
    </w:p>
    <w:p w14:paraId="1A3B5B03">
      <w:pPr>
        <w:keepNext w:val="0"/>
        <w:keepLines w:val="0"/>
        <w:pageBreakBefore w:val="0"/>
        <w:widowControl w:val="0"/>
        <w:kinsoku/>
        <w:wordWrap w:val="0"/>
        <w:overflowPunct/>
        <w:topLinePunct/>
        <w:autoSpaceDE/>
        <w:autoSpaceDN/>
        <w:bidi w:val="0"/>
        <w:spacing w:line="576" w:lineRule="exact"/>
        <w:jc w:val="left"/>
        <w:textAlignment w:val="auto"/>
        <w:rPr>
          <w:rFonts w:hint="eastAsia" w:ascii="仿宋_GB2312" w:hAnsi="仿宋_GB2312" w:eastAsia="仿宋_GB2312" w:cs="仿宋_GB2312"/>
          <w:sz w:val="32"/>
          <w:szCs w:val="32"/>
          <w:lang w:val="en-US" w:eastAsia="zh-CN"/>
        </w:rPr>
      </w:pPr>
    </w:p>
    <w:p w14:paraId="48F86C75">
      <w:pPr>
        <w:keepNext w:val="0"/>
        <w:keepLines w:val="0"/>
        <w:pageBreakBefore w:val="0"/>
        <w:widowControl w:val="0"/>
        <w:kinsoku/>
        <w:wordWrap w:val="0"/>
        <w:overflowPunct/>
        <w:topLinePunct/>
        <w:autoSpaceDE/>
        <w:autoSpaceDN/>
        <w:bidi w:val="0"/>
        <w:spacing w:line="576" w:lineRule="exact"/>
        <w:jc w:val="left"/>
        <w:textAlignment w:val="auto"/>
        <w:rPr>
          <w:rFonts w:hint="eastAsia" w:ascii="仿宋_GB2312" w:hAnsi="仿宋_GB2312" w:eastAsia="仿宋_GB2312" w:cs="仿宋_GB2312"/>
          <w:sz w:val="32"/>
          <w:szCs w:val="32"/>
          <w:lang w:val="en-US" w:eastAsia="zh-CN"/>
        </w:rPr>
      </w:pPr>
    </w:p>
    <w:p w14:paraId="2C3D7E8B">
      <w:pPr>
        <w:keepNext w:val="0"/>
        <w:keepLines w:val="0"/>
        <w:pageBreakBefore w:val="0"/>
        <w:widowControl w:val="0"/>
        <w:kinsoku/>
        <w:wordWrap w:val="0"/>
        <w:overflowPunct/>
        <w:topLinePunct/>
        <w:autoSpaceDE/>
        <w:autoSpaceDN/>
        <w:bidi w:val="0"/>
        <w:spacing w:line="576" w:lineRule="exact"/>
        <w:jc w:val="left"/>
        <w:textAlignment w:val="auto"/>
        <w:rPr>
          <w:rFonts w:hint="eastAsia" w:ascii="仿宋_GB2312" w:hAnsi="仿宋_GB2312" w:eastAsia="仿宋_GB2312" w:cs="仿宋_GB2312"/>
          <w:sz w:val="32"/>
          <w:szCs w:val="32"/>
          <w:lang w:val="en-US" w:eastAsia="zh-CN"/>
        </w:rPr>
      </w:pPr>
    </w:p>
    <w:p w14:paraId="71F7ED4D">
      <w:pPr>
        <w:keepNext w:val="0"/>
        <w:keepLines w:val="0"/>
        <w:pageBreakBefore w:val="0"/>
        <w:widowControl w:val="0"/>
        <w:kinsoku/>
        <w:wordWrap w:val="0"/>
        <w:overflowPunct/>
        <w:topLinePunct/>
        <w:autoSpaceDE/>
        <w:autoSpaceDN/>
        <w:bidi w:val="0"/>
        <w:spacing w:line="576" w:lineRule="exact"/>
        <w:jc w:val="left"/>
        <w:textAlignment w:val="auto"/>
        <w:rPr>
          <w:rFonts w:hint="eastAsia" w:ascii="仿宋_GB2312" w:hAnsi="仿宋_GB2312" w:eastAsia="仿宋_GB2312" w:cs="仿宋_GB2312"/>
          <w:sz w:val="32"/>
          <w:szCs w:val="32"/>
          <w:lang w:val="en-US" w:eastAsia="zh-CN"/>
        </w:rPr>
      </w:pPr>
    </w:p>
    <w:p w14:paraId="612C2BD7">
      <w:pPr>
        <w:keepNext w:val="0"/>
        <w:keepLines w:val="0"/>
        <w:pageBreakBefore w:val="0"/>
        <w:widowControl w:val="0"/>
        <w:kinsoku/>
        <w:wordWrap w:val="0"/>
        <w:overflowPunct/>
        <w:topLinePunct/>
        <w:autoSpaceDE/>
        <w:autoSpaceDN/>
        <w:bidi w:val="0"/>
        <w:spacing w:line="576" w:lineRule="exact"/>
        <w:jc w:val="left"/>
        <w:textAlignment w:val="auto"/>
        <w:rPr>
          <w:rFonts w:hint="eastAsia" w:ascii="仿宋_GB2312" w:hAnsi="仿宋_GB2312" w:eastAsia="仿宋_GB2312" w:cs="仿宋_GB2312"/>
          <w:color w:val="000000"/>
          <w:sz w:val="32"/>
          <w:szCs w:val="32"/>
          <w:u w:val="single"/>
          <w:lang w:val="en-US" w:eastAsia="zh-CN"/>
        </w:rPr>
      </w:pPr>
      <w:r>
        <w:rPr>
          <w:rFonts w:hint="eastAsia" w:ascii="仿宋_GB2312" w:hAnsi="仿宋_GB2312" w:eastAsia="仿宋_GB2312" w:cs="仿宋_GB2312"/>
          <w:color w:val="000000"/>
          <w:sz w:val="32"/>
          <w:szCs w:val="32"/>
          <w:lang w:val="en-US" w:eastAsia="zh-CN"/>
        </w:rPr>
        <w:t>抄送：六安市叶集区姚李镇人民政府、叶集经济开发区管理委员会、六安市生态环境保护综合行政执法支队叶集区大队、叶集经济开发区生态环境工作站、安徽志远环境工程有限公司</w:t>
      </w:r>
    </w:p>
    <w:sectPr>
      <w:footerReference r:id="rId5" w:type="first"/>
      <w:footerReference r:id="rId3" w:type="default"/>
      <w:footerReference r:id="rId4" w:type="even"/>
      <w:pgSz w:w="11906" w:h="16838"/>
      <w:pgMar w:top="2098" w:right="1531" w:bottom="1984" w:left="1531" w:header="851" w:footer="1361"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F9731">
    <w:pPr>
      <w:pStyle w:val="5"/>
      <w:ind w:left="315" w:leftChars="150" w:right="315" w:rightChars="150"/>
      <w:jc w:val="right"/>
      <w:rPr>
        <w:sz w:val="28"/>
        <w:szCs w:val="28"/>
      </w:rPr>
    </w:pPr>
    <w:r>
      <w:rPr>
        <w:sz w:val="2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328CBFF">
                          <w:pPr>
                            <w:pStyle w:val="5"/>
                            <w:ind w:left="315" w:leftChars="150" w:right="315" w:rightChars="150"/>
                            <w:jc w:val="right"/>
                          </w:pPr>
                          <w:r>
                            <w:rPr>
                              <w:rFonts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rPr>
                            <w:t>3</w:t>
                          </w:r>
                          <w:r>
                            <w:rPr>
                              <w:rFonts w:ascii="Times New Roman" w:hAnsi="Times New Roman"/>
                              <w:sz w:val="28"/>
                              <w:szCs w:val="28"/>
                            </w:rPr>
                            <w:fldChar w:fldCharType="end"/>
                          </w:r>
                          <w:r>
                            <w:rPr>
                              <w:rFonts w:hint="eastAsia"/>
                              <w:sz w:val="28"/>
                              <w:szCs w:val="28"/>
                            </w:rPr>
                            <w:t xml:space="preserve"> —</w:t>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SV/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TJJX/tIBAACeAwAADgAAAAAAAAABACAAAAAfAQAA&#10;ZHJzL2Uyb0RvYy54bWxQSwUGAAAAAAYABgBZAQAAYwUAAAAA&#10;">
              <v:fill on="f" focussize="0,0"/>
              <v:stroke on="f"/>
              <v:imagedata o:title=""/>
              <o:lock v:ext="edit" aspectratio="f"/>
              <v:textbox inset="0mm,0mm,0mm,0mm" style="mso-fit-shape-to-text:t;">
                <w:txbxContent>
                  <w:p w14:paraId="2328CBFF">
                    <w:pPr>
                      <w:pStyle w:val="5"/>
                      <w:ind w:left="315" w:leftChars="150" w:right="315" w:rightChars="150"/>
                      <w:jc w:val="right"/>
                    </w:pPr>
                    <w:r>
                      <w:rPr>
                        <w:rFonts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rPr>
                      <w:t>3</w:t>
                    </w:r>
                    <w:r>
                      <w:rPr>
                        <w:rFonts w:ascii="Times New Roman" w:hAnsi="Times New Roman"/>
                        <w:sz w:val="28"/>
                        <w:szCs w:val="28"/>
                      </w:rPr>
                      <w:fldChar w:fldCharType="end"/>
                    </w:r>
                    <w:r>
                      <w:rPr>
                        <w:rFonts w:hint="eastAsia"/>
                        <w:sz w:val="28"/>
                        <w:szCs w:val="28"/>
                      </w:rPr>
                      <w:t xml:space="preserve"> —</w:t>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FFB4D">
    <w:pPr>
      <w:pStyle w:val="5"/>
      <w:ind w:left="315" w:leftChars="150" w:right="315" w:rightChars="150"/>
    </w:pPr>
    <w:r>
      <w:rPr>
        <w:rFonts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rPr>
      <w:t>2</w:t>
    </w:r>
    <w:r>
      <w:rPr>
        <w:rFonts w:ascii="Times New Roman" w:hAnsi="Times New Roman"/>
        <w:sz w:val="28"/>
        <w:szCs w:val="28"/>
      </w:rPr>
      <w:fldChar w:fldCharType="end"/>
    </w:r>
    <w:r>
      <w:rPr>
        <w:rFonts w:hint="eastAsia"/>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3EFC6">
    <w:pPr>
      <w:pStyle w:val="5"/>
    </w:pPr>
    <w:r>
      <w:rPr>
        <w:sz w:val="1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8"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48605B8">
                          <w:pPr>
                            <w:snapToGrid w:val="0"/>
                            <w:rPr>
                              <w:rFonts w:hint="eastAsia" w:eastAsia="宋体"/>
                              <w:sz w:val="18"/>
                              <w:lang w:eastAsia="zh-CN"/>
                            </w:rPr>
                          </w:pP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jlU1nRAQAAn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KjnUB6zo4n24gylDCpPcoQWbviSEDdnV89VVNUQmaXO5Xq3XJRku6WxOCKd4eB4A43vlLUtB&#10;zYHalt0Up48Yx6vzlVTNuLQ6f6uNGU/TTpFojsRSFIf9MLHd++ZMKmnoCbzz8I2znlpec0cTzpn5&#10;4MjRNB1zAHOwnwPhJD2seeTsGEAfujxJiQaGd8dIVDLPVHisNvGhtmWl04iluXic51sPv9X2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1uVLQAAAABQEAAA8AAAAAAAAAAQAgAAAAIgAAAGRycy9k&#10;b3ducmV2LnhtbFBLAQIUABQAAAAIAIdO4kBY5VNZ0QEAAJ4DAAAOAAAAAAAAAAEAIAAAAB8BAABk&#10;cnMvZTJvRG9jLnhtbFBLBQYAAAAABgAGAFkBAABiBQAAAAA=&#10;">
              <v:fill on="f" focussize="0,0"/>
              <v:stroke on="f"/>
              <v:imagedata o:title=""/>
              <o:lock v:ext="edit" aspectratio="f"/>
              <v:textbox inset="0mm,0mm,0mm,0mm" style="mso-fit-shape-to-text:t;">
                <w:txbxContent>
                  <w:p w14:paraId="248605B8">
                    <w:pPr>
                      <w:snapToGrid w:val="0"/>
                      <w:rPr>
                        <w:rFonts w:hint="eastAsia" w:eastAsia="宋体"/>
                        <w:sz w:val="18"/>
                        <w:lang w:eastAsia="zh-CN"/>
                      </w:rPr>
                    </w:pP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DB56DB"/>
    <w:multiLevelType w:val="singleLevel"/>
    <w:tmpl w:val="66DB56D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lYmY2NDBlNjUxOWE4ODk1N2VjYjk4OTVjOTRiNGEifQ=="/>
  </w:docVars>
  <w:rsids>
    <w:rsidRoot w:val="00000000"/>
    <w:rsid w:val="00B1117D"/>
    <w:rsid w:val="01343A7F"/>
    <w:rsid w:val="01670659"/>
    <w:rsid w:val="025A782D"/>
    <w:rsid w:val="033B240C"/>
    <w:rsid w:val="04B9310D"/>
    <w:rsid w:val="05AC4EF2"/>
    <w:rsid w:val="0729326F"/>
    <w:rsid w:val="08D43138"/>
    <w:rsid w:val="0A132C02"/>
    <w:rsid w:val="0BC24FD0"/>
    <w:rsid w:val="0C0046C9"/>
    <w:rsid w:val="0C0A26F5"/>
    <w:rsid w:val="0C295CBE"/>
    <w:rsid w:val="0D9178C8"/>
    <w:rsid w:val="11111C04"/>
    <w:rsid w:val="116A5FD8"/>
    <w:rsid w:val="11904216"/>
    <w:rsid w:val="11A07ED7"/>
    <w:rsid w:val="1285374D"/>
    <w:rsid w:val="128C2F7A"/>
    <w:rsid w:val="12B80FCE"/>
    <w:rsid w:val="13781BDD"/>
    <w:rsid w:val="13C2574A"/>
    <w:rsid w:val="144C07BE"/>
    <w:rsid w:val="150C68CB"/>
    <w:rsid w:val="161B669A"/>
    <w:rsid w:val="16BB1E0A"/>
    <w:rsid w:val="171D4AB1"/>
    <w:rsid w:val="182F341E"/>
    <w:rsid w:val="18C07105"/>
    <w:rsid w:val="1996608F"/>
    <w:rsid w:val="19DF3E6A"/>
    <w:rsid w:val="1A4513B4"/>
    <w:rsid w:val="1AFA6AEC"/>
    <w:rsid w:val="1C9415B7"/>
    <w:rsid w:val="1CDC4DD5"/>
    <w:rsid w:val="1D3C3FEF"/>
    <w:rsid w:val="1D7A639C"/>
    <w:rsid w:val="1E570B35"/>
    <w:rsid w:val="1F39255A"/>
    <w:rsid w:val="1F6251F7"/>
    <w:rsid w:val="1FFFE119"/>
    <w:rsid w:val="200D2C24"/>
    <w:rsid w:val="21714460"/>
    <w:rsid w:val="22C84860"/>
    <w:rsid w:val="2318468D"/>
    <w:rsid w:val="23BB11CE"/>
    <w:rsid w:val="24A130CA"/>
    <w:rsid w:val="26F2796A"/>
    <w:rsid w:val="277A1333"/>
    <w:rsid w:val="287844DA"/>
    <w:rsid w:val="290C6A42"/>
    <w:rsid w:val="29D03B05"/>
    <w:rsid w:val="2A8C0D0B"/>
    <w:rsid w:val="2B1716CE"/>
    <w:rsid w:val="2C9044BF"/>
    <w:rsid w:val="2E311BD0"/>
    <w:rsid w:val="2E4A590F"/>
    <w:rsid w:val="2E9F45B0"/>
    <w:rsid w:val="2EE82182"/>
    <w:rsid w:val="2F2F7C22"/>
    <w:rsid w:val="315372CC"/>
    <w:rsid w:val="32207918"/>
    <w:rsid w:val="325D3A78"/>
    <w:rsid w:val="32637295"/>
    <w:rsid w:val="32BF3B8D"/>
    <w:rsid w:val="32F36EA7"/>
    <w:rsid w:val="337C76E9"/>
    <w:rsid w:val="33AF1889"/>
    <w:rsid w:val="346E2CE3"/>
    <w:rsid w:val="35651098"/>
    <w:rsid w:val="36FD79CA"/>
    <w:rsid w:val="373850A5"/>
    <w:rsid w:val="38137C9C"/>
    <w:rsid w:val="38163A8F"/>
    <w:rsid w:val="396143E0"/>
    <w:rsid w:val="3A02191F"/>
    <w:rsid w:val="3A470764"/>
    <w:rsid w:val="3ABA0B83"/>
    <w:rsid w:val="3ADC662D"/>
    <w:rsid w:val="3AFF61A3"/>
    <w:rsid w:val="3B785C82"/>
    <w:rsid w:val="3D973563"/>
    <w:rsid w:val="3E9305E9"/>
    <w:rsid w:val="3F933635"/>
    <w:rsid w:val="416D05CB"/>
    <w:rsid w:val="43264553"/>
    <w:rsid w:val="43285775"/>
    <w:rsid w:val="43C34E50"/>
    <w:rsid w:val="44786A70"/>
    <w:rsid w:val="45C12C53"/>
    <w:rsid w:val="45EF2759"/>
    <w:rsid w:val="46595E92"/>
    <w:rsid w:val="47083327"/>
    <w:rsid w:val="47234594"/>
    <w:rsid w:val="48A203D1"/>
    <w:rsid w:val="48D10CB7"/>
    <w:rsid w:val="496C5191"/>
    <w:rsid w:val="496E43BA"/>
    <w:rsid w:val="499D71E3"/>
    <w:rsid w:val="49FF4443"/>
    <w:rsid w:val="4A761B16"/>
    <w:rsid w:val="4ABB1DE6"/>
    <w:rsid w:val="4AF71F82"/>
    <w:rsid w:val="4CB63384"/>
    <w:rsid w:val="4D132604"/>
    <w:rsid w:val="4D302450"/>
    <w:rsid w:val="4DA16EA9"/>
    <w:rsid w:val="4DF76AE3"/>
    <w:rsid w:val="4E06542A"/>
    <w:rsid w:val="4E0E389F"/>
    <w:rsid w:val="4FDB6156"/>
    <w:rsid w:val="51C9057C"/>
    <w:rsid w:val="5291745F"/>
    <w:rsid w:val="533455C2"/>
    <w:rsid w:val="54146A42"/>
    <w:rsid w:val="54947768"/>
    <w:rsid w:val="55023D73"/>
    <w:rsid w:val="56497633"/>
    <w:rsid w:val="56B05707"/>
    <w:rsid w:val="57415259"/>
    <w:rsid w:val="579F319A"/>
    <w:rsid w:val="57FEA6A8"/>
    <w:rsid w:val="59AB126F"/>
    <w:rsid w:val="5A984D1F"/>
    <w:rsid w:val="5BA43FB8"/>
    <w:rsid w:val="5BD06B9D"/>
    <w:rsid w:val="5BF569AE"/>
    <w:rsid w:val="5CE10298"/>
    <w:rsid w:val="5D2D47A4"/>
    <w:rsid w:val="5D8D11F8"/>
    <w:rsid w:val="5DAF4C1B"/>
    <w:rsid w:val="5F7F1950"/>
    <w:rsid w:val="5FF62FE3"/>
    <w:rsid w:val="60033C5A"/>
    <w:rsid w:val="60812BB0"/>
    <w:rsid w:val="60EA02FE"/>
    <w:rsid w:val="610076CF"/>
    <w:rsid w:val="61C2556D"/>
    <w:rsid w:val="61EC1054"/>
    <w:rsid w:val="6229476C"/>
    <w:rsid w:val="62D86700"/>
    <w:rsid w:val="63232A71"/>
    <w:rsid w:val="64724482"/>
    <w:rsid w:val="654A1A2B"/>
    <w:rsid w:val="6608004F"/>
    <w:rsid w:val="664A237C"/>
    <w:rsid w:val="66937ABF"/>
    <w:rsid w:val="68003928"/>
    <w:rsid w:val="684B11AF"/>
    <w:rsid w:val="69C65855"/>
    <w:rsid w:val="6A0D6AD9"/>
    <w:rsid w:val="6AB31398"/>
    <w:rsid w:val="6BDA58FF"/>
    <w:rsid w:val="6D7813AB"/>
    <w:rsid w:val="6DA106B5"/>
    <w:rsid w:val="6F341871"/>
    <w:rsid w:val="6F7BB260"/>
    <w:rsid w:val="6F865AA7"/>
    <w:rsid w:val="704C7C5C"/>
    <w:rsid w:val="71E317EE"/>
    <w:rsid w:val="720A54C5"/>
    <w:rsid w:val="738F33AD"/>
    <w:rsid w:val="73F76F74"/>
    <w:rsid w:val="779D7C27"/>
    <w:rsid w:val="7A461991"/>
    <w:rsid w:val="7AD021D9"/>
    <w:rsid w:val="7AF47901"/>
    <w:rsid w:val="7B113911"/>
    <w:rsid w:val="7B477B38"/>
    <w:rsid w:val="7BBD6CF5"/>
    <w:rsid w:val="7C0A1723"/>
    <w:rsid w:val="7C1437E1"/>
    <w:rsid w:val="7C5D6993"/>
    <w:rsid w:val="7CA6352C"/>
    <w:rsid w:val="7CC86220"/>
    <w:rsid w:val="7CF820C9"/>
    <w:rsid w:val="7D162BE6"/>
    <w:rsid w:val="7E282B4B"/>
    <w:rsid w:val="7EFA236D"/>
    <w:rsid w:val="7FAFFBC2"/>
    <w:rsid w:val="B43A8602"/>
    <w:rsid w:val="B9CF5655"/>
    <w:rsid w:val="CE7B384D"/>
    <w:rsid w:val="EF5EEE5F"/>
    <w:rsid w:val="F6C7AE7D"/>
    <w:rsid w:val="FFF72A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qFormat/>
    <w:uiPriority w:val="0"/>
  </w:style>
  <w:style w:type="table" w:default="1" w:styleId="8">
    <w:name w:val="Normal Table"/>
    <w:autoRedefine/>
    <w:qFormat/>
    <w:uiPriority w:val="0"/>
    <w:tblPr>
      <w:tblCellMar>
        <w:top w:w="0" w:type="dxa"/>
        <w:left w:w="108" w:type="dxa"/>
        <w:bottom w:w="0" w:type="dxa"/>
        <w:right w:w="108" w:type="dxa"/>
      </w:tblCellMar>
    </w:tblPr>
  </w:style>
  <w:style w:type="paragraph" w:styleId="2">
    <w:name w:val="Body Text"/>
    <w:basedOn w:val="1"/>
    <w:qFormat/>
    <w:uiPriority w:val="0"/>
    <w:pPr>
      <w:widowControl/>
      <w:snapToGrid w:val="0"/>
      <w:spacing w:before="60" w:after="160" w:line="259" w:lineRule="auto"/>
      <w:ind w:right="113"/>
    </w:pPr>
    <w:rPr>
      <w:kern w:val="0"/>
      <w:sz w:val="18"/>
      <w:szCs w:val="20"/>
    </w:rPr>
  </w:style>
  <w:style w:type="paragraph" w:styleId="3">
    <w:name w:val="Plain Text"/>
    <w:basedOn w:val="1"/>
    <w:autoRedefine/>
    <w:qFormat/>
    <w:uiPriority w:val="0"/>
    <w:rPr>
      <w:rFonts w:ascii="宋体" w:hAnsi="Courier New"/>
      <w:kern w:val="0"/>
      <w:sz w:val="20"/>
      <w:szCs w:val="21"/>
    </w:rPr>
  </w:style>
  <w:style w:type="paragraph" w:styleId="4">
    <w:name w:val="Body Text Indent 2"/>
    <w:basedOn w:val="1"/>
    <w:next w:val="1"/>
    <w:unhideWhenUsed/>
    <w:qFormat/>
    <w:uiPriority w:val="0"/>
    <w:pPr>
      <w:spacing w:after="120" w:line="480" w:lineRule="auto"/>
      <w:ind w:left="420" w:leftChars="200"/>
      <w:jc w:val="left"/>
    </w:pPr>
    <w:rPr>
      <w:rFonts w:ascii="Calibri" w:hAnsi="Calibri" w:eastAsia="宋体" w:cs="Times New Roman"/>
      <w:sz w:val="22"/>
      <w:lang w:eastAsia="en-US"/>
    </w:r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table" w:styleId="9">
    <w:name w:val="Table Grid"/>
    <w:basedOn w:val="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表格文字-书"/>
    <w:autoRedefine/>
    <w:qFormat/>
    <w:uiPriority w:val="0"/>
    <w:pPr>
      <w:jc w:val="both"/>
    </w:pPr>
    <w:rPr>
      <w:rFonts w:ascii="Times New Roman" w:hAnsi="Times New Roman" w:eastAsia="宋体" w:cs="宋体"/>
      <w:kern w:val="0"/>
      <w:sz w:val="21"/>
      <w:szCs w:val="22"/>
      <w:lang w:val="en-US" w:eastAsia="zh-CN" w:bidi="ar-SA"/>
    </w:rPr>
  </w:style>
  <w:style w:type="paragraph" w:customStyle="1" w:styleId="12">
    <w:name w:val="报告正文"/>
    <w:basedOn w:val="1"/>
    <w:qFormat/>
    <w:uiPriority w:val="0"/>
    <w:pPr>
      <w:spacing w:line="360" w:lineRule="auto"/>
      <w:ind w:firstLine="200" w:firstLineChars="200"/>
    </w:pPr>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1785</Words>
  <Characters>1992</Characters>
  <Paragraphs>41</Paragraphs>
  <TotalTime>28</TotalTime>
  <ScaleCrop>false</ScaleCrop>
  <LinksUpToDate>false</LinksUpToDate>
  <CharactersWithSpaces>2078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2021-11-09T09:27:00Z</dcterms:created>
  <dc:creator>青山绿水</dc:creator>
  <cp:lastModifiedBy>姽婳</cp:lastModifiedBy>
  <cp:lastPrinted>2025-03-13T07:09:00Z</cp:lastPrinted>
  <dcterms:modified xsi:type="dcterms:W3CDTF">2025-06-16T01:18:09Z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1C22391DDA3B4007B41FEC2E9F51D72D_13</vt:lpwstr>
  </property>
  <property fmtid="{D5CDD505-2E9C-101B-9397-08002B2CF9AE}" pid="4" name="KSOTemplateDocerSaveRecord">
    <vt:lpwstr>eyJoZGlkIjoiMzNlYmY2NDBlNjUxOWE4ODk1N2VjYjk4OTVjOTRiNGEiLCJ1c2VySWQiOiIyNDM4NzU4NDcifQ==</vt:lpwstr>
  </property>
</Properties>
</file>