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C0695">
      <w:pPr>
        <w:keepNext w:val="0"/>
        <w:keepLines w:val="0"/>
        <w:pageBreakBefore w:val="0"/>
        <w:widowControl w:val="0"/>
        <w:kinsoku/>
        <w:wordWrap w:val="0"/>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9D8E186">
      <w:pPr>
        <w:keepNext w:val="0"/>
        <w:keepLines w:val="0"/>
        <w:pageBreakBefore w:val="0"/>
        <w:widowControl w:val="0"/>
        <w:kinsoku/>
        <w:wordWrap w:val="0"/>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BF36C2C">
      <w:pPr>
        <w:keepNext w:val="0"/>
        <w:keepLines w:val="0"/>
        <w:pageBreakBefore w:val="0"/>
        <w:widowControl w:val="0"/>
        <w:kinsoku/>
        <w:wordWrap w:val="0"/>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71058C37">
      <w:pPr>
        <w:keepNext w:val="0"/>
        <w:keepLines w:val="0"/>
        <w:pageBreakBefore w:val="0"/>
        <w:widowControl w:val="0"/>
        <w:tabs>
          <w:tab w:val="left" w:pos="1276"/>
        </w:tabs>
        <w:kinsoku/>
        <w:wordWrap/>
        <w:overflowPunct/>
        <w:topLinePunct w:val="0"/>
        <w:autoSpaceDE/>
        <w:autoSpaceDN/>
        <w:bidi w:val="0"/>
        <w:adjustRightInd w:val="0"/>
        <w:snapToGrid w:val="0"/>
        <w:spacing w:line="576" w:lineRule="exact"/>
        <w:ind w:left="0" w:leftChars="0" w:right="0" w:rightChars="0" w:firstLine="0" w:firstLineChars="0"/>
        <w:jc w:val="right"/>
        <w:textAlignment w:val="auto"/>
        <w:outlineLvl w:val="9"/>
        <w:rPr>
          <w:rFonts w:hint="eastAsia" w:ascii="仿宋_GB2312" w:hAnsi="仿宋_GB2312" w:eastAsia="仿宋_GB2312" w:cs="仿宋_GB2312"/>
          <w:color w:val="000000"/>
          <w:w w:val="100"/>
          <w:sz w:val="32"/>
          <w:szCs w:val="32"/>
        </w:rPr>
      </w:pPr>
      <w:r>
        <w:rPr>
          <w:rFonts w:hint="eastAsia" w:ascii="仿宋_GB2312" w:hAnsi="仿宋_GB2312" w:eastAsia="仿宋_GB2312" w:cs="仿宋_GB2312"/>
          <w:color w:val="000000"/>
          <w:w w:val="100"/>
          <w:sz w:val="32"/>
          <w:szCs w:val="32"/>
        </w:rPr>
        <w:t>叶环</w:t>
      </w:r>
      <w:r>
        <w:rPr>
          <w:rFonts w:hint="eastAsia" w:ascii="仿宋_GB2312" w:hAnsi="仿宋_GB2312" w:eastAsia="仿宋_GB2312" w:cs="仿宋_GB2312"/>
          <w:color w:val="000000"/>
          <w:w w:val="100"/>
          <w:sz w:val="32"/>
          <w:szCs w:val="32"/>
          <w:lang w:eastAsia="zh-CN"/>
        </w:rPr>
        <w:t>评</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000000"/>
          <w:w w:val="100"/>
          <w:sz w:val="32"/>
          <w:szCs w:val="32"/>
          <w:lang w:val="en-US" w:eastAsia="zh-CN"/>
        </w:rPr>
        <w:t>2025</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auto"/>
          <w:w w:val="100"/>
          <w:sz w:val="32"/>
          <w:szCs w:val="32"/>
          <w:lang w:val="en-US" w:eastAsia="zh-CN"/>
        </w:rPr>
        <w:t>6</w:t>
      </w:r>
      <w:r>
        <w:rPr>
          <w:rFonts w:hint="eastAsia" w:ascii="仿宋_GB2312" w:hAnsi="仿宋_GB2312" w:eastAsia="仿宋_GB2312" w:cs="仿宋_GB2312"/>
          <w:color w:val="000000"/>
          <w:w w:val="100"/>
          <w:sz w:val="32"/>
          <w:szCs w:val="32"/>
        </w:rPr>
        <w:t>号</w:t>
      </w:r>
    </w:p>
    <w:p w14:paraId="387F1401">
      <w:pPr>
        <w:keepNext w:val="0"/>
        <w:keepLines w:val="0"/>
        <w:pageBreakBefore w:val="0"/>
        <w:widowControl w:val="0"/>
        <w:kinsoku/>
        <w:wordWrap w:val="0"/>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黑体" w:hAnsi="黑体" w:eastAsia="黑体" w:cs="黑体"/>
          <w:b w:val="0"/>
          <w:bCs w:val="0"/>
          <w:color w:val="000000"/>
          <w:w w:val="100"/>
          <w:sz w:val="44"/>
          <w:szCs w:val="44"/>
        </w:rPr>
      </w:pPr>
    </w:p>
    <w:p w14:paraId="316A6129">
      <w:pPr>
        <w:pStyle w:val="7"/>
        <w:keepNext w:val="0"/>
        <w:keepLines w:val="0"/>
        <w:pageBreakBefore w:val="0"/>
        <w:widowControl w:val="0"/>
        <w:suppressLineNumbers w:val="0"/>
        <w:kinsoku/>
        <w:wordWrap w:val="0"/>
        <w:overflowPunct/>
        <w:topLinePunct w:val="0"/>
        <w:autoSpaceDE/>
        <w:autoSpaceDN/>
        <w:bidi w:val="0"/>
        <w:spacing w:before="0" w:beforeAutospacing="0" w:after="0" w:afterAutospacing="0" w:line="576"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napToGrid w:val="0"/>
          <w:color w:val="000000"/>
          <w:w w:val="100"/>
          <w:kern w:val="0"/>
          <w:sz w:val="44"/>
          <w:szCs w:val="44"/>
        </w:rPr>
      </w:pPr>
      <w:r>
        <w:rPr>
          <w:rFonts w:hint="eastAsia" w:ascii="方正小标宋简体" w:hAnsi="方正小标宋简体" w:eastAsia="方正小标宋简体" w:cs="方正小标宋简体"/>
          <w:w w:val="100"/>
          <w:sz w:val="44"/>
          <w:szCs w:val="44"/>
        </w:rPr>
        <w:t>六安市叶集区生态环境分局</w:t>
      </w:r>
      <w:r>
        <w:rPr>
          <w:rFonts w:hint="eastAsia" w:ascii="方正小标宋简体" w:hAnsi="方正小标宋简体" w:eastAsia="方正小标宋简体" w:cs="方正小标宋简体"/>
          <w:w w:val="100"/>
          <w:sz w:val="44"/>
          <w:szCs w:val="44"/>
          <w:lang w:eastAsia="zh-CN"/>
        </w:rPr>
        <w:t>关于《安徽中叶农业服务有限责任公司六</w:t>
      </w:r>
      <w:bookmarkStart w:id="0" w:name="_GoBack"/>
      <w:bookmarkEnd w:id="0"/>
      <w:r>
        <w:rPr>
          <w:rFonts w:hint="eastAsia" w:ascii="方正小标宋简体" w:hAnsi="方正小标宋简体" w:eastAsia="方正小标宋简体" w:cs="方正小标宋简体"/>
          <w:w w:val="100"/>
          <w:sz w:val="44"/>
          <w:szCs w:val="44"/>
          <w:lang w:eastAsia="zh-CN"/>
        </w:rPr>
        <w:t>安市叶集区食用菌</w:t>
      </w:r>
      <w:r>
        <w:rPr>
          <w:rFonts w:hint="eastAsia" w:ascii="方正小标宋简体" w:hAnsi="方正小标宋简体" w:eastAsia="方正小标宋简体" w:cs="方正小标宋简体"/>
          <w:w w:val="100"/>
          <w:sz w:val="44"/>
          <w:szCs w:val="44"/>
          <w:lang w:eastAsia="zh-CN"/>
        </w:rPr>
        <w:br w:type="textWrapping"/>
      </w:r>
      <w:r>
        <w:rPr>
          <w:rFonts w:hint="eastAsia" w:ascii="方正小标宋简体" w:hAnsi="方正小标宋简体" w:eastAsia="方正小标宋简体" w:cs="方正小标宋简体"/>
          <w:w w:val="100"/>
          <w:sz w:val="44"/>
          <w:szCs w:val="44"/>
          <w:lang w:eastAsia="zh-CN"/>
        </w:rPr>
        <w:t>全产业链项目</w:t>
      </w:r>
      <w:r>
        <w:rPr>
          <w:rFonts w:hint="eastAsia" w:ascii="方正小标宋简体" w:hAnsi="方正小标宋简体" w:eastAsia="方正小标宋简体" w:cs="方正小标宋简体"/>
          <w:w w:val="100"/>
          <w:sz w:val="44"/>
          <w:szCs w:val="44"/>
        </w:rPr>
        <w:t>环境影响报告表》的批复</w:t>
      </w:r>
    </w:p>
    <w:p w14:paraId="7F2D2BB7">
      <w:pPr>
        <w:keepNext w:val="0"/>
        <w:keepLines w:val="0"/>
        <w:pageBreakBefore w:val="0"/>
        <w:widowControl w:val="0"/>
        <w:kinsoku/>
        <w:wordWrap w:val="0"/>
        <w:overflowPunct/>
        <w:topLinePunct w:val="0"/>
        <w:autoSpaceDE/>
        <w:autoSpaceDN/>
        <w:bidi w:val="0"/>
        <w:adjustRightInd w:val="0"/>
        <w:snapToGrid w:val="0"/>
        <w:spacing w:beforeAutospacing="0" w:afterAutospacing="0" w:line="576" w:lineRule="exact"/>
        <w:ind w:left="0" w:leftChars="0" w:right="0" w:rightChars="0" w:firstLine="0" w:firstLineChars="0"/>
        <w:jc w:val="both"/>
        <w:textAlignment w:val="auto"/>
        <w:outlineLvl w:val="9"/>
        <w:rPr>
          <w:rFonts w:hint="eastAsia" w:ascii="仿宋_GB2312" w:hAnsi="仿宋_GB2312" w:eastAsia="仿宋_GB2312" w:cs="仿宋_GB2312"/>
          <w:color w:val="000000"/>
          <w:w w:val="100"/>
          <w:sz w:val="32"/>
          <w:szCs w:val="32"/>
        </w:rPr>
      </w:pPr>
    </w:p>
    <w:p w14:paraId="0F4C2B21">
      <w:pPr>
        <w:keepNext w:val="0"/>
        <w:keepLines w:val="0"/>
        <w:pageBreakBefore w:val="0"/>
        <w:widowControl w:val="0"/>
        <w:tabs>
          <w:tab w:val="left" w:pos="5433"/>
        </w:tabs>
        <w:kinsoku/>
        <w:wordWrap w:val="0"/>
        <w:overflowPunct/>
        <w:topLinePunct w:val="0"/>
        <w:autoSpaceDE/>
        <w:autoSpaceDN/>
        <w:bidi w:val="0"/>
        <w:adjustRightInd w:val="0"/>
        <w:snapToGrid w:val="0"/>
        <w:spacing w:line="576" w:lineRule="exact"/>
        <w:ind w:right="0" w:rightChars="0"/>
        <w:jc w:val="both"/>
        <w:textAlignment w:val="auto"/>
        <w:outlineLvl w:val="9"/>
        <w:rPr>
          <w:rFonts w:hint="eastAsia" w:ascii="仿宋_GB2312" w:hAnsi="仿宋_GB2312" w:eastAsia="仿宋_GB2312" w:cs="仿宋_GB2312"/>
          <w:color w:val="auto"/>
          <w:w w:val="100"/>
          <w:sz w:val="32"/>
          <w:szCs w:val="32"/>
          <w:lang w:eastAsia="zh-CN"/>
        </w:rPr>
      </w:pPr>
      <w:r>
        <w:rPr>
          <w:rFonts w:hint="eastAsia" w:ascii="仿宋_GB2312" w:hAnsi="仿宋_GB2312" w:eastAsia="仿宋_GB2312" w:cs="仿宋_GB2312"/>
          <w:color w:val="auto"/>
          <w:w w:val="100"/>
          <w:sz w:val="32"/>
          <w:szCs w:val="32"/>
          <w:lang w:eastAsia="zh-CN"/>
        </w:rPr>
        <w:t>安徽中叶农业服务有限责任公司：</w:t>
      </w:r>
      <w:r>
        <w:rPr>
          <w:rFonts w:hint="eastAsia" w:ascii="仿宋_GB2312" w:hAnsi="仿宋_GB2312" w:eastAsia="仿宋_GB2312" w:cs="仿宋_GB2312"/>
          <w:color w:val="auto"/>
          <w:w w:val="100"/>
          <w:sz w:val="32"/>
          <w:szCs w:val="32"/>
          <w:lang w:eastAsia="zh-CN"/>
        </w:rPr>
        <w:tab/>
      </w:r>
    </w:p>
    <w:p w14:paraId="54FBA1EF">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color w:val="auto"/>
          <w:w w:val="100"/>
          <w:sz w:val="32"/>
          <w:szCs w:val="32"/>
          <w:lang w:val="en-US" w:eastAsia="zh-CN"/>
        </w:rPr>
      </w:pPr>
      <w:r>
        <w:rPr>
          <w:rFonts w:hint="eastAsia" w:ascii="仿宋_GB2312" w:hAnsi="仿宋_GB2312" w:eastAsia="仿宋_GB2312" w:cs="仿宋_GB2312"/>
          <w:color w:val="auto"/>
          <w:w w:val="100"/>
          <w:sz w:val="32"/>
          <w:szCs w:val="32"/>
        </w:rPr>
        <w:t>你</w:t>
      </w:r>
      <w:r>
        <w:rPr>
          <w:rFonts w:hint="eastAsia" w:ascii="仿宋_GB2312" w:hAnsi="仿宋_GB2312" w:eastAsia="仿宋_GB2312" w:cs="仿宋_GB2312"/>
          <w:color w:val="auto"/>
          <w:w w:val="100"/>
          <w:sz w:val="32"/>
          <w:szCs w:val="32"/>
          <w:lang w:eastAsia="zh-CN"/>
        </w:rPr>
        <w:t>公司</w:t>
      </w:r>
      <w:r>
        <w:rPr>
          <w:rFonts w:hint="eastAsia" w:ascii="仿宋_GB2312" w:hAnsi="仿宋_GB2312" w:eastAsia="仿宋_GB2312" w:cs="仿宋_GB2312"/>
          <w:color w:val="auto"/>
          <w:w w:val="100"/>
          <w:sz w:val="32"/>
          <w:szCs w:val="32"/>
        </w:rPr>
        <w:t>报送的《安徽中叶农业服务有限责任公司六安市叶集区食用菌全产业链项目环境影响报告表》收悉（以下简称《报告表》</w:t>
      </w:r>
      <w:r>
        <w:rPr>
          <w:rFonts w:hint="eastAsia" w:ascii="仿宋_GB2312" w:hAnsi="仿宋_GB2312" w:eastAsia="仿宋_GB2312" w:cs="仿宋_GB2312"/>
          <w:color w:val="auto"/>
          <w:w w:val="100"/>
          <w:sz w:val="32"/>
          <w:szCs w:val="32"/>
          <w:lang w:eastAsia="zh-CN"/>
        </w:rPr>
        <w:t>，项</w:t>
      </w:r>
      <w:r>
        <w:rPr>
          <w:rFonts w:hint="eastAsia" w:ascii="仿宋_GB2312" w:hAnsi="仿宋_GB2312" w:eastAsia="仿宋_GB2312" w:cs="仿宋_GB2312"/>
          <w:color w:val="auto"/>
          <w:w w:val="100"/>
          <w:sz w:val="32"/>
          <w:szCs w:val="32"/>
        </w:rPr>
        <w:t>目代码</w:t>
      </w:r>
      <w:r>
        <w:rPr>
          <w:rFonts w:hint="default" w:ascii="Times New Roman" w:hAnsi="Times New Roman" w:eastAsia="仿宋_GB2312" w:cs="Times New Roman"/>
          <w:color w:val="auto"/>
          <w:w w:val="100"/>
          <w:sz w:val="32"/>
          <w:szCs w:val="32"/>
        </w:rPr>
        <w:t>2410-341504-04-01-540037</w:t>
      </w:r>
      <w:r>
        <w:rPr>
          <w:rFonts w:hint="eastAsia" w:ascii="仿宋_GB2312" w:hAnsi="仿宋_GB2312" w:eastAsia="仿宋_GB2312" w:cs="仿宋_GB2312"/>
          <w:color w:val="auto"/>
          <w:w w:val="100"/>
          <w:sz w:val="32"/>
          <w:szCs w:val="32"/>
        </w:rPr>
        <w:t>）。</w:t>
      </w:r>
      <w:r>
        <w:rPr>
          <w:rFonts w:hint="eastAsia" w:ascii="仿宋_GB2312" w:hAnsi="仿宋_GB2312" w:eastAsia="仿宋_GB2312" w:cs="仿宋_GB2312"/>
          <w:color w:val="auto"/>
          <w:w w:val="100"/>
          <w:sz w:val="32"/>
          <w:szCs w:val="32"/>
          <w:lang w:eastAsia="zh-CN"/>
        </w:rPr>
        <w:t>项目位于六安市叶集区洪集镇东岳村</w:t>
      </w:r>
      <w:r>
        <w:rPr>
          <w:rFonts w:hint="eastAsia" w:ascii="Times New Roman" w:hAnsi="Times New Roman" w:eastAsia="仿宋_GB2312" w:cs="Times New Roman"/>
          <w:color w:val="auto"/>
          <w:w w:val="100"/>
          <w:sz w:val="32"/>
          <w:szCs w:val="32"/>
          <w:lang w:eastAsia="zh-CN"/>
        </w:rPr>
        <w:t>G105</w:t>
      </w:r>
      <w:r>
        <w:rPr>
          <w:rFonts w:hint="eastAsia" w:ascii="仿宋_GB2312" w:hAnsi="仿宋_GB2312" w:eastAsia="仿宋_GB2312" w:cs="仿宋_GB2312"/>
          <w:color w:val="auto"/>
          <w:w w:val="100"/>
          <w:sz w:val="32"/>
          <w:szCs w:val="32"/>
          <w:lang w:eastAsia="zh-CN"/>
        </w:rPr>
        <w:t>西侧，生产厂区规划总用地面积</w:t>
      </w:r>
      <w:r>
        <w:rPr>
          <w:rFonts w:hint="eastAsia" w:ascii="Times New Roman" w:hAnsi="Times New Roman" w:eastAsia="仿宋_GB2312" w:cs="Times New Roman"/>
          <w:color w:val="auto"/>
          <w:w w:val="100"/>
          <w:sz w:val="32"/>
          <w:szCs w:val="32"/>
          <w:lang w:eastAsia="zh-CN"/>
        </w:rPr>
        <w:t>126</w:t>
      </w:r>
      <w:r>
        <w:rPr>
          <w:rFonts w:hint="default" w:ascii="Times New Roman" w:hAnsi="Times New Roman" w:eastAsia="仿宋_GB2312" w:cs="Times New Roman"/>
          <w:color w:val="auto"/>
          <w:w w:val="100"/>
          <w:sz w:val="32"/>
          <w:szCs w:val="32"/>
          <w:lang w:eastAsia="zh-CN"/>
        </w:rPr>
        <w:t>625.3</w:t>
      </w:r>
      <w:r>
        <w:rPr>
          <w:rFonts w:hint="eastAsia" w:ascii="Times New Roman" w:hAnsi="Times New Roman" w:eastAsia="仿宋_GB2312" w:cs="Times New Roman"/>
          <w:color w:val="auto"/>
          <w:w w:val="100"/>
          <w:sz w:val="32"/>
          <w:szCs w:val="32"/>
          <w:lang w:eastAsia="zh-CN"/>
        </w:rPr>
        <w:t>5</w:t>
      </w:r>
      <w:r>
        <w:rPr>
          <w:rFonts w:hint="default" w:ascii="Times New Roman" w:hAnsi="Times New Roman" w:eastAsia="仿宋_GB2312" w:cs="Times New Roman"/>
          <w:color w:val="auto"/>
          <w:w w:val="100"/>
          <w:sz w:val="32"/>
          <w:szCs w:val="32"/>
          <w:lang w:eastAsia="zh-CN"/>
        </w:rPr>
        <w:t>m</w:t>
      </w:r>
      <w:r>
        <w:rPr>
          <w:rFonts w:hint="default" w:ascii="Times New Roman" w:hAnsi="Times New Roman" w:eastAsia="仿宋_GB2312" w:cs="Times New Roman"/>
          <w:color w:val="auto"/>
          <w:w w:val="100"/>
          <w:sz w:val="32"/>
          <w:szCs w:val="32"/>
          <w:vertAlign w:val="superscript"/>
          <w:lang w:eastAsia="zh-CN"/>
        </w:rPr>
        <w:t>2</w:t>
      </w:r>
      <w:r>
        <w:rPr>
          <w:rFonts w:hint="eastAsia" w:ascii="仿宋_GB2312" w:hAnsi="仿宋_GB2312" w:eastAsia="仿宋_GB2312" w:cs="仿宋_GB2312"/>
          <w:color w:val="auto"/>
          <w:w w:val="100"/>
          <w:sz w:val="32"/>
          <w:szCs w:val="32"/>
          <w:lang w:eastAsia="zh-CN"/>
        </w:rPr>
        <w:t>，总建筑面积</w:t>
      </w:r>
      <w:r>
        <w:rPr>
          <w:rFonts w:hint="eastAsia" w:ascii="Times New Roman" w:hAnsi="Times New Roman" w:eastAsia="仿宋_GB2312" w:cs="Times New Roman"/>
          <w:color w:val="auto"/>
          <w:w w:val="100"/>
          <w:sz w:val="32"/>
          <w:szCs w:val="32"/>
          <w:lang w:eastAsia="zh-CN"/>
        </w:rPr>
        <w:t>69819.83</w:t>
      </w:r>
      <w:r>
        <w:rPr>
          <w:rFonts w:hint="default" w:ascii="Times New Roman" w:hAnsi="Times New Roman" w:eastAsia="仿宋_GB2312" w:cs="Times New Roman"/>
          <w:color w:val="auto"/>
          <w:w w:val="100"/>
          <w:sz w:val="32"/>
          <w:szCs w:val="32"/>
          <w:lang w:eastAsia="zh-CN"/>
        </w:rPr>
        <w:t>m</w:t>
      </w:r>
      <w:r>
        <w:rPr>
          <w:rFonts w:hint="default" w:ascii="Times New Roman" w:hAnsi="Times New Roman" w:eastAsia="仿宋_GB2312" w:cs="Times New Roman"/>
          <w:color w:val="auto"/>
          <w:w w:val="100"/>
          <w:sz w:val="32"/>
          <w:szCs w:val="32"/>
          <w:vertAlign w:val="superscript"/>
          <w:lang w:eastAsia="zh-CN"/>
        </w:rPr>
        <w:t>2</w:t>
      </w:r>
      <w:r>
        <w:rPr>
          <w:rFonts w:hint="eastAsia" w:ascii="仿宋_GB2312" w:hAnsi="仿宋_GB2312" w:eastAsia="仿宋_GB2312" w:cs="仿宋_GB2312"/>
          <w:color w:val="auto"/>
          <w:w w:val="100"/>
          <w:sz w:val="32"/>
          <w:szCs w:val="32"/>
          <w:lang w:eastAsia="zh-CN"/>
        </w:rPr>
        <w:t>，主要建设</w:t>
      </w:r>
      <w:r>
        <w:rPr>
          <w:rFonts w:hint="eastAsia" w:ascii="Times New Roman" w:hAnsi="Times New Roman" w:eastAsia="仿宋_GB2312" w:cs="Times New Roman"/>
          <w:color w:val="auto"/>
          <w:w w:val="100"/>
          <w:sz w:val="32"/>
          <w:szCs w:val="32"/>
          <w:lang w:eastAsia="zh-CN"/>
        </w:rPr>
        <w:t>3</w:t>
      </w:r>
      <w:r>
        <w:rPr>
          <w:rFonts w:hint="eastAsia" w:ascii="仿宋_GB2312" w:hAnsi="仿宋_GB2312" w:eastAsia="仿宋_GB2312" w:cs="仿宋_GB2312"/>
          <w:color w:val="auto"/>
          <w:w w:val="100"/>
          <w:sz w:val="32"/>
          <w:szCs w:val="32"/>
          <w:lang w:eastAsia="zh-CN"/>
        </w:rPr>
        <w:t>栋菇房、</w:t>
      </w:r>
      <w:r>
        <w:rPr>
          <w:rFonts w:hint="eastAsia" w:ascii="Times New Roman" w:hAnsi="Times New Roman" w:eastAsia="仿宋_GB2312" w:cs="Times New Roman"/>
          <w:color w:val="auto"/>
          <w:w w:val="100"/>
          <w:sz w:val="32"/>
          <w:szCs w:val="32"/>
          <w:lang w:eastAsia="zh-CN"/>
        </w:rPr>
        <w:t>2</w:t>
      </w:r>
      <w:r>
        <w:rPr>
          <w:rFonts w:hint="eastAsia" w:ascii="仿宋_GB2312" w:hAnsi="仿宋_GB2312" w:eastAsia="仿宋_GB2312" w:cs="仿宋_GB2312"/>
          <w:color w:val="auto"/>
          <w:w w:val="100"/>
          <w:sz w:val="32"/>
          <w:szCs w:val="32"/>
          <w:lang w:eastAsia="zh-CN"/>
        </w:rPr>
        <w:t>栋发酵车间、</w:t>
      </w:r>
      <w:r>
        <w:rPr>
          <w:rFonts w:hint="eastAsia" w:ascii="Times New Roman" w:hAnsi="Times New Roman" w:eastAsia="仿宋_GB2312" w:cs="Times New Roman"/>
          <w:color w:val="auto"/>
          <w:w w:val="100"/>
          <w:sz w:val="32"/>
          <w:szCs w:val="32"/>
          <w:lang w:eastAsia="zh-CN"/>
        </w:rPr>
        <w:t>1</w:t>
      </w:r>
      <w:r>
        <w:rPr>
          <w:rFonts w:hint="eastAsia" w:ascii="仿宋_GB2312" w:hAnsi="仿宋_GB2312" w:eastAsia="仿宋_GB2312" w:cs="仿宋_GB2312"/>
          <w:color w:val="auto"/>
          <w:w w:val="100"/>
          <w:sz w:val="32"/>
          <w:szCs w:val="32"/>
          <w:lang w:eastAsia="zh-CN"/>
        </w:rPr>
        <w:t>栋覆土车间、生物质锅炉房及管理用房等。项目建成后可实现年产</w:t>
      </w:r>
      <w:r>
        <w:rPr>
          <w:rFonts w:hint="eastAsia" w:ascii="Times New Roman" w:hAnsi="Times New Roman" w:eastAsia="仿宋_GB2312" w:cs="Times New Roman"/>
          <w:color w:val="auto"/>
          <w:w w:val="100"/>
          <w:sz w:val="32"/>
          <w:szCs w:val="32"/>
          <w:lang w:eastAsia="zh-CN"/>
        </w:rPr>
        <w:t>2.2</w:t>
      </w:r>
      <w:r>
        <w:rPr>
          <w:rFonts w:hint="eastAsia" w:ascii="仿宋_GB2312" w:hAnsi="仿宋_GB2312" w:eastAsia="仿宋_GB2312" w:cs="仿宋_GB2312"/>
          <w:color w:val="auto"/>
          <w:w w:val="100"/>
          <w:sz w:val="32"/>
          <w:szCs w:val="32"/>
          <w:lang w:eastAsia="zh-CN"/>
        </w:rPr>
        <w:t>万吨双孢蘑菇的生产规模。项目</w:t>
      </w:r>
      <w:r>
        <w:rPr>
          <w:rFonts w:hint="eastAsia" w:ascii="仿宋_GB2312" w:hAnsi="仿宋_GB2312" w:eastAsia="仿宋_GB2312" w:cs="仿宋_GB2312"/>
          <w:color w:val="auto"/>
          <w:w w:val="100"/>
          <w:sz w:val="32"/>
          <w:szCs w:val="32"/>
          <w:lang w:val="en-US" w:eastAsia="zh-CN"/>
        </w:rPr>
        <w:t>总投资</w:t>
      </w:r>
      <w:r>
        <w:rPr>
          <w:rFonts w:hint="eastAsia" w:ascii="Times New Roman" w:hAnsi="Times New Roman" w:eastAsia="仿宋_GB2312" w:cs="Times New Roman"/>
          <w:color w:val="auto"/>
          <w:w w:val="100"/>
          <w:sz w:val="32"/>
          <w:szCs w:val="32"/>
          <w:lang w:val="en-US" w:eastAsia="zh-CN"/>
        </w:rPr>
        <w:t>51000</w:t>
      </w:r>
      <w:r>
        <w:rPr>
          <w:rFonts w:hint="eastAsia" w:ascii="仿宋_GB2312" w:hAnsi="仿宋_GB2312" w:eastAsia="仿宋_GB2312" w:cs="仿宋_GB2312"/>
          <w:color w:val="auto"/>
          <w:w w:val="100"/>
          <w:sz w:val="32"/>
          <w:szCs w:val="32"/>
          <w:lang w:val="en-US" w:eastAsia="zh-CN"/>
        </w:rPr>
        <w:t>万元，其中环保投资</w:t>
      </w:r>
      <w:r>
        <w:rPr>
          <w:rFonts w:hint="eastAsia" w:ascii="Times New Roman" w:hAnsi="Times New Roman" w:eastAsia="仿宋_GB2312" w:cs="Times New Roman"/>
          <w:color w:val="auto"/>
          <w:w w:val="100"/>
          <w:sz w:val="32"/>
          <w:szCs w:val="32"/>
          <w:lang w:val="en-US" w:eastAsia="zh-CN"/>
        </w:rPr>
        <w:t>217.1</w:t>
      </w:r>
      <w:r>
        <w:rPr>
          <w:rFonts w:hint="eastAsia" w:ascii="仿宋_GB2312" w:hAnsi="仿宋_GB2312" w:eastAsia="仿宋_GB2312" w:cs="仿宋_GB2312"/>
          <w:color w:val="auto"/>
          <w:w w:val="100"/>
          <w:sz w:val="32"/>
          <w:szCs w:val="32"/>
          <w:lang w:val="en-US" w:eastAsia="zh-CN"/>
        </w:rPr>
        <w:t>万元。根据《中华人民共和国环境影响评价法》等有关法律法规规定，现批复如下：</w:t>
      </w:r>
    </w:p>
    <w:p w14:paraId="24D15157">
      <w:pPr>
        <w:keepNext w:val="0"/>
        <w:keepLines w:val="0"/>
        <w:pageBreakBefore w:val="0"/>
        <w:widowControl w:val="0"/>
        <w:numPr>
          <w:ilvl w:val="0"/>
          <w:numId w:val="1"/>
        </w:numPr>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在全面落实《报告表》和本批复提出的各项污染防治措施后，该项目所产生的不利环境影响可以得到缓解和控制，我局原则同意《报告表》结论及其提出的环境保护设施。</w:t>
      </w:r>
    </w:p>
    <w:p w14:paraId="7ECFC215">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二、在项目建设和运行管理过程中应重点做好以下工作： </w:t>
      </w:r>
    </w:p>
    <w:p w14:paraId="0F768847">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1.</w:t>
      </w:r>
      <w:r>
        <w:rPr>
          <w:rFonts w:hint="eastAsia" w:ascii="仿宋_GB2312" w:hAnsi="仿宋_GB2312" w:eastAsia="仿宋_GB2312" w:cs="仿宋_GB2312"/>
          <w:sz w:val="32"/>
          <w:szCs w:val="32"/>
          <w:lang w:val="en-US" w:eastAsia="zh-CN"/>
        </w:rPr>
        <w:t>加强施工期环境管理，全面落实施工期各项污染防治和环境保护措施，文明施工，减小噪声等污染。</w:t>
      </w:r>
    </w:p>
    <w:p w14:paraId="68A55AEF">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2.</w:t>
      </w:r>
      <w:r>
        <w:rPr>
          <w:rFonts w:hint="eastAsia" w:ascii="仿宋_GB2312" w:hAnsi="仿宋_GB2312" w:eastAsia="仿宋_GB2312" w:cs="仿宋_GB2312"/>
          <w:sz w:val="32"/>
          <w:szCs w:val="32"/>
          <w:lang w:val="en-US" w:eastAsia="zh-CN"/>
        </w:rPr>
        <w:t>落实项目内部废水处置措施。项目实行雨污分流。秸秆堆场、堆土场、通风地板区雨水和通风地板区秸秆自然沥水单独收集，经格栅井过滤后排入蓄水池，全部回用于生产；厂内道路雨水和冲洗废水单独收集，排入三级沉淀池处理后按需回用生产或排入周边农灌渠；屋面雨水直接排入周边农灌渠。生活污水经隔油池、化粪池预处理后进入洪集镇污水处理厂处理后达标排放。发酵隧道发酵渗滤液和冲洗废水收集后排入蓄水池全部回用生产，无废水排放；锅炉软水制备废水、育菇纯水制备废水收集后按需回用生产或用于厂内道路冲洗；喷淋塔更换废水收集后全部回用生产，无废水排放。项目运营期污水排放执行《污水综合排放标准》（</w:t>
      </w:r>
      <w:r>
        <w:rPr>
          <w:rFonts w:hint="eastAsia" w:ascii="Times New Roman" w:hAnsi="Times New Roman" w:eastAsia="仿宋_GB2312" w:cs="Times New Roman"/>
          <w:color w:val="auto"/>
          <w:w w:val="100"/>
          <w:sz w:val="32"/>
          <w:szCs w:val="32"/>
          <w:lang w:val="en-US" w:eastAsia="zh-CN"/>
        </w:rPr>
        <w:t>GB8978-1996</w:t>
      </w:r>
      <w:r>
        <w:rPr>
          <w:rFonts w:hint="eastAsia" w:ascii="仿宋_GB2312" w:hAnsi="仿宋_GB2312" w:eastAsia="仿宋_GB2312" w:cs="仿宋_GB2312"/>
          <w:sz w:val="32"/>
          <w:szCs w:val="32"/>
          <w:lang w:val="en-US" w:eastAsia="zh-CN"/>
        </w:rPr>
        <w:t>）表</w:t>
      </w:r>
      <w:r>
        <w:rPr>
          <w:rFonts w:hint="default"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中三级标准及洪集镇污水处理厂接管要求。</w:t>
      </w:r>
    </w:p>
    <w:p w14:paraId="4B116EFE">
      <w:pPr>
        <w:keepNext w:val="0"/>
        <w:keepLines w:val="0"/>
        <w:pageBreakBefore w:val="0"/>
        <w:widowControl w:val="0"/>
        <w:kinsoku/>
        <w:wordWrap/>
        <w:overflowPunct/>
        <w:topLinePunct/>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仿宋_GB2312" w:cs="Times New Roman"/>
          <w:color w:val="000000"/>
          <w:w w:val="100"/>
          <w:sz w:val="32"/>
          <w:szCs w:val="32"/>
          <w:lang w:val="en-US" w:eastAsia="zh-CN"/>
        </w:rPr>
        <w:t>3.</w:t>
      </w:r>
      <w:r>
        <w:rPr>
          <w:rFonts w:hint="eastAsia" w:ascii="仿宋_GB2312" w:hAnsi="仿宋_GB2312" w:eastAsia="仿宋_GB2312" w:cs="仿宋_GB2312"/>
          <w:sz w:val="32"/>
          <w:szCs w:val="32"/>
          <w:lang w:val="en-US" w:eastAsia="zh-CN"/>
        </w:rPr>
        <w:t>严格落实《报告表》中提出的废气防治方案。项目鸡粪仓库和发酵隧道为密闭设施，鸡粪仓库恶臭废气和一次发酵恶臭废气采取整体负压收集，经</w:t>
      </w:r>
      <w:r>
        <w:rPr>
          <w:rFonts w:hint="eastAsia" w:ascii="Times New Roman" w:hAnsi="Times New Roman" w:eastAsia="仿宋_GB2312" w:cs="Times New Roman"/>
          <w:color w:val="auto"/>
          <w:w w:val="100"/>
          <w:sz w:val="32"/>
          <w:szCs w:val="32"/>
          <w:lang w:val="en-US" w:eastAsia="zh-CN"/>
        </w:rPr>
        <w:t>1</w:t>
      </w:r>
      <w:r>
        <w:rPr>
          <w:rFonts w:hint="eastAsia" w:ascii="仿宋_GB2312" w:hAnsi="仿宋_GB2312" w:eastAsia="仿宋_GB2312" w:cs="仿宋_GB2312"/>
          <w:sz w:val="32"/>
          <w:szCs w:val="32"/>
          <w:lang w:val="en-US" w:eastAsia="zh-CN"/>
        </w:rPr>
        <w:t>套“二级水喷淋塔+碱液喷淋塔”装置处理后，通过</w:t>
      </w:r>
      <w:r>
        <w:rPr>
          <w:rFonts w:hint="eastAsia" w:ascii="Times New Roman" w:hAnsi="Times New Roman" w:eastAsia="仿宋_GB2312" w:cs="Times New Roman"/>
          <w:color w:val="auto"/>
          <w:w w:val="100"/>
          <w:sz w:val="32"/>
          <w:szCs w:val="32"/>
          <w:lang w:val="en-US" w:eastAsia="zh-CN"/>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sz w:val="32"/>
          <w:szCs w:val="32"/>
          <w:lang w:val="en-US" w:eastAsia="zh-CN"/>
        </w:rPr>
        <w:t>DA001</w:t>
      </w:r>
      <w:r>
        <w:rPr>
          <w:rFonts w:hint="eastAsia" w:ascii="仿宋_GB2312" w:hAnsi="仿宋_GB2312" w:eastAsia="仿宋_GB2312" w:cs="仿宋_GB2312"/>
          <w:color w:val="auto"/>
          <w:sz w:val="32"/>
          <w:szCs w:val="32"/>
          <w:lang w:val="en-US" w:eastAsia="zh-CN"/>
        </w:rPr>
        <w:t>）排放；生物质锅炉（</w:t>
      </w:r>
      <w:r>
        <w:rPr>
          <w:rFonts w:hint="eastAsia" w:ascii="Times New Roman" w:hAnsi="Times New Roman" w:eastAsia="仿宋_GB2312" w:cs="Times New Roman"/>
          <w:color w:val="auto"/>
          <w:w w:val="100"/>
          <w:sz w:val="32"/>
          <w:szCs w:val="32"/>
          <w:lang w:val="en-US" w:eastAsia="zh-CN"/>
        </w:rPr>
        <w:t>6t/h</w:t>
      </w:r>
      <w:r>
        <w:rPr>
          <w:rFonts w:hint="eastAsia" w:ascii="仿宋_GB2312" w:hAnsi="仿宋_GB2312" w:eastAsia="仿宋_GB2312" w:cs="仿宋_GB2312"/>
          <w:color w:val="auto"/>
          <w:sz w:val="32"/>
          <w:szCs w:val="32"/>
          <w:lang w:val="en-US" w:eastAsia="zh-CN"/>
        </w:rPr>
        <w:t>）燃烧废气经</w:t>
      </w: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套旋风布袋除尘器处理后，</w:t>
      </w:r>
      <w:r>
        <w:rPr>
          <w:rFonts w:hint="eastAsia" w:ascii="仿宋_GB2312" w:hAnsi="仿宋_GB2312" w:eastAsia="仿宋_GB2312" w:cs="仿宋_GB2312"/>
          <w:sz w:val="32"/>
          <w:szCs w:val="32"/>
          <w:lang w:val="en-US" w:eastAsia="zh-CN"/>
        </w:rPr>
        <w:t>通过</w:t>
      </w:r>
      <w:r>
        <w:rPr>
          <w:rFonts w:hint="eastAsia" w:ascii="Times New Roman" w:hAnsi="Times New Roman" w:eastAsia="仿宋_GB2312" w:cs="Times New Roman"/>
          <w:color w:val="auto"/>
          <w:w w:val="100"/>
          <w:sz w:val="32"/>
          <w:szCs w:val="32"/>
          <w:lang w:val="en-US" w:eastAsia="zh-CN"/>
        </w:rPr>
        <w:t>35m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sz w:val="32"/>
          <w:szCs w:val="32"/>
          <w:lang w:val="en-US" w:eastAsia="zh-CN"/>
        </w:rPr>
        <w:t>DA002</w:t>
      </w:r>
      <w:r>
        <w:rPr>
          <w:rFonts w:hint="eastAsia" w:ascii="仿宋_GB2312" w:hAnsi="仿宋_GB2312" w:eastAsia="仿宋_GB2312" w:cs="仿宋_GB2312"/>
          <w:color w:val="auto"/>
          <w:sz w:val="32"/>
          <w:szCs w:val="32"/>
          <w:lang w:val="en-US" w:eastAsia="zh-CN"/>
        </w:rPr>
        <w:t>）排放；</w:t>
      </w:r>
      <w:r>
        <w:rPr>
          <w:rFonts w:hint="eastAsia" w:ascii="仿宋_GB2312" w:hAnsi="仿宋_GB2312" w:eastAsia="仿宋_GB2312" w:cs="仿宋_GB2312"/>
          <w:color w:val="auto"/>
          <w:sz w:val="32"/>
          <w:szCs w:val="32"/>
          <w:highlight w:val="none"/>
          <w:lang w:val="en-US" w:eastAsia="zh-CN"/>
        </w:rPr>
        <w:t>合理控制秸秆贮存量，秸秆堆场设置</w:t>
      </w:r>
      <w:r>
        <w:rPr>
          <w:rFonts w:hint="eastAsia" w:ascii="Times New Roman" w:hAnsi="Times New Roman" w:eastAsia="仿宋_GB2312" w:cs="Times New Roman"/>
          <w:color w:val="auto"/>
          <w:w w:val="100"/>
          <w:sz w:val="32"/>
          <w:szCs w:val="32"/>
          <w:lang w:val="en-US" w:eastAsia="zh-CN"/>
        </w:rPr>
        <w:t>2</w:t>
      </w:r>
      <w:r>
        <w:rPr>
          <w:rFonts w:hint="eastAsia" w:ascii="仿宋_GB2312" w:hAnsi="仿宋_GB2312" w:eastAsia="仿宋_GB2312" w:cs="仿宋_GB2312"/>
          <w:color w:val="auto"/>
          <w:sz w:val="32"/>
          <w:szCs w:val="32"/>
          <w:highlight w:val="none"/>
          <w:lang w:val="en-US" w:eastAsia="zh-CN"/>
        </w:rPr>
        <w:t>台雾炮机，减轻扬尘对周围环境的影响</w:t>
      </w:r>
      <w:r>
        <w:rPr>
          <w:rFonts w:hint="eastAsia" w:ascii="仿宋_GB2312" w:hAnsi="仿宋_GB2312" w:eastAsia="仿宋_GB2312" w:cs="仿宋_GB2312"/>
          <w:color w:val="auto"/>
          <w:sz w:val="32"/>
          <w:szCs w:val="32"/>
          <w:lang w:val="en-US" w:eastAsia="zh-CN"/>
        </w:rPr>
        <w:t>。</w:t>
      </w:r>
    </w:p>
    <w:p w14:paraId="770C956C">
      <w:pPr>
        <w:pStyle w:val="2"/>
        <w:keepNext w:val="0"/>
        <w:keepLines w:val="0"/>
        <w:pageBreakBefore w:val="0"/>
        <w:widowControl w:val="0"/>
        <w:kinsoku/>
        <w:wordWrap w:val="0"/>
        <w:overflowPunct/>
        <w:topLinePunct/>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项目运营期有组织废气污染物及厂界无组织恶臭污染物排放分别执行《恶臭污染物排放标准》（</w:t>
      </w:r>
      <w:r>
        <w:rPr>
          <w:rFonts w:hint="default" w:ascii="Times New Roman" w:hAnsi="Times New Roman" w:eastAsia="仿宋_GB2312" w:cs="Times New Roman"/>
          <w:color w:val="auto"/>
          <w:kern w:val="2"/>
          <w:sz w:val="32"/>
          <w:szCs w:val="32"/>
          <w:highlight w:val="none"/>
          <w:lang w:val="en-US" w:eastAsia="zh-CN" w:bidi="ar-SA"/>
        </w:rPr>
        <w:t>GB14554-93</w:t>
      </w:r>
      <w:r>
        <w:rPr>
          <w:rFonts w:hint="eastAsia" w:ascii="仿宋_GB2312" w:hAnsi="仿宋_GB2312" w:eastAsia="仿宋_GB2312" w:cs="仿宋_GB2312"/>
          <w:color w:val="auto"/>
          <w:kern w:val="2"/>
          <w:sz w:val="32"/>
          <w:szCs w:val="32"/>
          <w:highlight w:val="none"/>
          <w:lang w:val="en-US" w:eastAsia="zh-CN" w:bidi="ar-SA"/>
        </w:rPr>
        <w:t>）中表</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、表</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仿宋_GB2312" w:eastAsia="仿宋_GB2312" w:cs="仿宋_GB2312"/>
          <w:color w:val="auto"/>
          <w:kern w:val="2"/>
          <w:sz w:val="32"/>
          <w:szCs w:val="32"/>
          <w:highlight w:val="none"/>
          <w:lang w:val="en-US" w:eastAsia="zh-CN" w:bidi="ar-SA"/>
        </w:rPr>
        <w:t>限值要求；</w:t>
      </w:r>
      <w:r>
        <w:rPr>
          <w:rFonts w:hint="eastAsia" w:ascii="仿宋_GB2312" w:hAnsi="仿宋_GB2312" w:eastAsia="仿宋_GB2312" w:cs="仿宋_GB2312"/>
          <w:color w:val="auto"/>
          <w:sz w:val="32"/>
          <w:szCs w:val="32"/>
          <w:highlight w:val="none"/>
          <w:lang w:val="en-US" w:eastAsia="zh-CN"/>
        </w:rPr>
        <w:t>生物质锅炉有组织废气排放执行《锅炉大气污染物排放标准》（</w:t>
      </w:r>
      <w:r>
        <w:rPr>
          <w:rFonts w:hint="eastAsia" w:ascii="Times New Roman" w:hAnsi="Times New Roman" w:eastAsia="仿宋_GB2312" w:cs="Times New Roman"/>
          <w:color w:val="auto"/>
          <w:kern w:val="2"/>
          <w:sz w:val="32"/>
          <w:szCs w:val="32"/>
          <w:highlight w:val="none"/>
          <w:lang w:val="en-US" w:eastAsia="zh-CN" w:bidi="ar-SA"/>
        </w:rPr>
        <w:t>GB13271-2014</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仿宋_GB2312" w:eastAsia="仿宋_GB2312" w:cs="仿宋_GB2312"/>
          <w:color w:val="auto"/>
          <w:sz w:val="32"/>
          <w:szCs w:val="32"/>
          <w:highlight w:val="none"/>
          <w:lang w:val="en-US" w:eastAsia="zh-CN"/>
        </w:rPr>
        <w:t>燃煤锅炉特别排放限制要求</w:t>
      </w:r>
      <w:r>
        <w:rPr>
          <w:rFonts w:hint="eastAsia" w:ascii="仿宋_GB2312" w:hAnsi="仿宋_GB2312" w:eastAsia="仿宋_GB2312" w:cs="仿宋_GB2312"/>
          <w:color w:val="auto"/>
          <w:kern w:val="2"/>
          <w:sz w:val="32"/>
          <w:szCs w:val="32"/>
          <w:highlight w:val="none"/>
          <w:lang w:val="en-US" w:eastAsia="zh-CN" w:bidi="ar-SA"/>
        </w:rPr>
        <w:t>；厂界颗粒物排放执行《大气污染物综合排放标准》（</w:t>
      </w:r>
      <w:r>
        <w:rPr>
          <w:rFonts w:hint="eastAsia" w:ascii="Times New Roman" w:hAnsi="Times New Roman" w:eastAsia="仿宋_GB2312" w:cs="Times New Roman"/>
          <w:color w:val="auto"/>
          <w:kern w:val="2"/>
          <w:sz w:val="32"/>
          <w:szCs w:val="32"/>
          <w:highlight w:val="none"/>
          <w:lang w:val="en-US" w:eastAsia="zh-CN" w:bidi="ar-SA"/>
        </w:rPr>
        <w:t>GB16297-1996</w:t>
      </w:r>
      <w:r>
        <w:rPr>
          <w:rFonts w:hint="eastAsia" w:ascii="仿宋_GB2312" w:hAnsi="仿宋_GB2312" w:eastAsia="仿宋_GB2312" w:cs="仿宋_GB2312"/>
          <w:color w:val="auto"/>
          <w:kern w:val="2"/>
          <w:sz w:val="32"/>
          <w:szCs w:val="32"/>
          <w:highlight w:val="none"/>
          <w:lang w:val="en-US" w:eastAsia="zh-CN" w:bidi="ar-SA"/>
        </w:rPr>
        <w:t>）表</w:t>
      </w: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中</w:t>
      </w:r>
      <w:r>
        <w:rPr>
          <w:rFonts w:hint="eastAsia" w:ascii="仿宋_GB2312" w:hAnsi="仿宋_GB2312" w:eastAsia="仿宋_GB2312" w:cs="仿宋_GB2312"/>
          <w:color w:val="auto"/>
          <w:sz w:val="32"/>
          <w:szCs w:val="32"/>
          <w:highlight w:val="none"/>
          <w:lang w:val="en-US" w:eastAsia="zh-CN"/>
        </w:rPr>
        <w:t>限值要求。</w:t>
      </w:r>
    </w:p>
    <w:p w14:paraId="0811606E">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4.</w:t>
      </w:r>
      <w:r>
        <w:rPr>
          <w:rFonts w:hint="eastAsia" w:ascii="仿宋_GB2312" w:hAnsi="仿宋_GB2312" w:eastAsia="仿宋_GB2312" w:cs="仿宋_GB2312"/>
          <w:sz w:val="32"/>
          <w:szCs w:val="32"/>
          <w:lang w:val="en-US" w:eastAsia="zh-CN"/>
        </w:rPr>
        <w:t>优化布局，选用低噪设备，采取减振、隔声、消声等措施减小噪声污染，确保厂界噪声排放执行《工业企业厂界环境噪声排放标准》</w:t>
      </w:r>
      <w:r>
        <w:rPr>
          <w:rFonts w:hint="eastAsia" w:ascii="Times New Roman" w:hAnsi="Times New Roman" w:eastAsia="仿宋_GB2312" w:cs="Times New Roman"/>
          <w:color w:val="auto"/>
          <w:w w:val="100"/>
          <w:sz w:val="32"/>
          <w:szCs w:val="32"/>
          <w:lang w:val="en-US" w:eastAsia="zh-CN"/>
        </w:rPr>
        <w:t>（GB12348-2008）</w:t>
      </w:r>
      <w:r>
        <w:rPr>
          <w:rFonts w:hint="eastAsia" w:ascii="仿宋_GB2312" w:hAnsi="仿宋_GB2312" w:eastAsia="仿宋_GB2312" w:cs="仿宋_GB2312"/>
          <w:sz w:val="32"/>
          <w:szCs w:val="32"/>
          <w:lang w:val="en-US" w:eastAsia="zh-CN"/>
        </w:rPr>
        <w:t>中</w:t>
      </w:r>
      <w:r>
        <w:rPr>
          <w:rFonts w:hint="eastAsia" w:ascii="Times New Roman" w:hAnsi="Times New Roman" w:eastAsia="仿宋_GB2312" w:cs="Times New Roman"/>
          <w:color w:val="auto"/>
          <w:w w:val="100"/>
          <w:sz w:val="32"/>
          <w:szCs w:val="32"/>
          <w:lang w:val="en-US" w:eastAsia="zh-CN"/>
        </w:rPr>
        <w:t>2</w:t>
      </w:r>
      <w:r>
        <w:rPr>
          <w:rFonts w:hint="eastAsia" w:ascii="仿宋_GB2312" w:hAnsi="仿宋_GB2312" w:eastAsia="仿宋_GB2312" w:cs="仿宋_GB2312"/>
          <w:sz w:val="32"/>
          <w:szCs w:val="32"/>
          <w:lang w:val="en-US" w:eastAsia="zh-CN"/>
        </w:rPr>
        <w:t>类区标准。</w:t>
      </w:r>
    </w:p>
    <w:p w14:paraId="025852F8">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5.</w:t>
      </w:r>
      <w:r>
        <w:rPr>
          <w:rFonts w:hint="eastAsia" w:ascii="仿宋_GB2312" w:hAnsi="仿宋_GB2312" w:eastAsia="仿宋_GB2312" w:cs="仿宋_GB2312"/>
          <w:sz w:val="32"/>
          <w:szCs w:val="32"/>
          <w:lang w:val="en-US" w:eastAsia="zh-CN"/>
        </w:rPr>
        <w:t>做好固体废物的分类暂存、转运、无害化处置工作。项目运营后产生的生活垃圾由环卫部门统一清运处理；废包装材料等一般工业固体废物分类收集后暂存于一般工业固废暂存区，外售综合利用或厂家回收；废润滑油等危险废物</w:t>
      </w:r>
      <w:r>
        <w:rPr>
          <w:rFonts w:ascii="仿宋_GB2312" w:hAnsi="仿宋_GB2312" w:eastAsia="仿宋_GB2312" w:cs="仿宋_GB2312"/>
          <w:b w:val="0"/>
          <w:bCs w:val="0"/>
          <w:color w:val="000000"/>
          <w:sz w:val="31"/>
          <w:szCs w:val="31"/>
        </w:rPr>
        <w:t>应按照</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危险废物贮存污染控制标准》</w:t>
      </w:r>
      <w:r>
        <w:rPr>
          <w:rFonts w:hint="eastAsia" w:ascii="仿宋_GB2312" w:hAnsi="仿宋_GB2312" w:eastAsia="仿宋_GB2312" w:cs="仿宋_GB2312"/>
          <w:b w:val="0"/>
          <w:bCs w:val="0"/>
          <w:color w:val="000000"/>
          <w:sz w:val="31"/>
          <w:szCs w:val="31"/>
          <w:lang w:eastAsia="zh-CN"/>
        </w:rPr>
        <w:t>（</w:t>
      </w:r>
      <w:r>
        <w:rPr>
          <w:rFonts w:hint="eastAsia" w:ascii="Times New Roman" w:hAnsi="Times New Roman" w:eastAsia="仿宋_GB2312" w:cs="Times New Roman"/>
          <w:color w:val="auto"/>
          <w:w w:val="100"/>
          <w:sz w:val="32"/>
          <w:szCs w:val="32"/>
          <w:lang w:val="en-US" w:eastAsia="zh-CN"/>
        </w:rPr>
        <w:t>GB18597-2023</w:t>
      </w:r>
      <w:r>
        <w:rPr>
          <w:rFonts w:ascii="仿宋_GB2312" w:hAnsi="仿宋_GB2312" w:eastAsia="仿宋_GB2312" w:cs="仿宋_GB2312"/>
          <w:b w:val="0"/>
          <w:bCs w:val="0"/>
          <w:color w:val="000000"/>
          <w:sz w:val="31"/>
          <w:szCs w:val="31"/>
        </w:rPr>
        <w:t>）、《危险废物识别标志</w:t>
      </w:r>
      <w:r>
        <w:rPr>
          <w:rFonts w:hint="eastAsia" w:ascii="仿宋_GB2312" w:hAnsi="仿宋_GB2312" w:eastAsia="仿宋_GB2312" w:cs="仿宋_GB2312"/>
          <w:b w:val="0"/>
          <w:bCs w:val="0"/>
          <w:color w:val="000000"/>
          <w:sz w:val="31"/>
          <w:szCs w:val="31"/>
          <w:lang w:val="en-US" w:eastAsia="zh-CN"/>
        </w:rPr>
        <w:t>设置</w:t>
      </w:r>
      <w:r>
        <w:rPr>
          <w:rFonts w:ascii="仿宋_GB2312" w:hAnsi="仿宋_GB2312" w:eastAsia="仿宋_GB2312" w:cs="仿宋_GB2312"/>
          <w:b w:val="0"/>
          <w:bCs w:val="0"/>
          <w:color w:val="000000"/>
          <w:sz w:val="31"/>
          <w:szCs w:val="31"/>
        </w:rPr>
        <w:t>技术规范》（</w:t>
      </w:r>
      <w:r>
        <w:rPr>
          <w:rFonts w:hint="eastAsia" w:ascii="Times New Roman" w:hAnsi="Times New Roman" w:eastAsia="仿宋_GB2312" w:cs="Times New Roman"/>
          <w:color w:val="auto"/>
          <w:w w:val="100"/>
          <w:sz w:val="32"/>
          <w:szCs w:val="32"/>
          <w:lang w:val="en-US" w:eastAsia="zh-CN"/>
        </w:rPr>
        <w:t>HJ1276-2022）</w:t>
      </w:r>
      <w:r>
        <w:rPr>
          <w:rFonts w:ascii="仿宋_GB2312" w:hAnsi="仿宋_GB2312" w:eastAsia="仿宋_GB2312" w:cs="仿宋_GB2312"/>
          <w:b w:val="0"/>
          <w:bCs w:val="0"/>
          <w:color w:val="000000"/>
          <w:sz w:val="31"/>
          <w:szCs w:val="31"/>
        </w:rPr>
        <w:t>和《危险废物转移管理办法》中规定</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分类分区规范暂存于危废暂存</w:t>
      </w:r>
      <w:r>
        <w:rPr>
          <w:rFonts w:hint="eastAsia" w:ascii="仿宋_GB2312" w:hAnsi="仿宋_GB2312" w:eastAsia="仿宋_GB2312" w:cs="仿宋_GB2312"/>
          <w:b w:val="0"/>
          <w:bCs w:val="0"/>
          <w:color w:val="000000"/>
          <w:sz w:val="31"/>
          <w:szCs w:val="31"/>
          <w:lang w:val="en-US" w:eastAsia="zh-CN"/>
        </w:rPr>
        <w:t>间</w:t>
      </w:r>
      <w:r>
        <w:rPr>
          <w:rFonts w:ascii="仿宋_GB2312" w:hAnsi="仿宋_GB2312" w:eastAsia="仿宋_GB2312" w:cs="仿宋_GB2312"/>
          <w:b w:val="0"/>
          <w:bCs w:val="0"/>
          <w:color w:val="000000"/>
          <w:sz w:val="31"/>
          <w:szCs w:val="31"/>
        </w:rPr>
        <w:t>，并</w:t>
      </w:r>
      <w:r>
        <w:rPr>
          <w:rFonts w:hint="eastAsia" w:ascii="仿宋_GB2312" w:hAnsi="仿宋_GB2312" w:eastAsia="仿宋_GB2312" w:cs="仿宋_GB2312"/>
          <w:sz w:val="32"/>
          <w:szCs w:val="32"/>
          <w:lang w:val="en-US" w:eastAsia="zh-CN"/>
        </w:rPr>
        <w:t>定期委托有资质单位合法处置。</w:t>
      </w:r>
    </w:p>
    <w:p w14:paraId="3E1764BD">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落实《报告表》中提出的土壤、地下水防治措施，落实分区防渗要求。</w:t>
      </w:r>
    </w:p>
    <w:p w14:paraId="76C8E441">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建设必须严格执行环境保护“三同时”管理要求。工程竣工后，应及时履行环境保护竣工验收手续，并将相关信息对社会公开。项目建成运营前，应按照法律规定和生态环境部门要求，及时履行排污许可手续。</w:t>
      </w:r>
    </w:p>
    <w:p w14:paraId="6813D2A6">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建设单位在项目建设、运营过程中须严格遵守规划、安全生产等相关法律法规规定，不得产生破坏生态环境等违法行为，加强风险防控，编制突发环境事件应急预案并定期演练，避免风险事故对周边环境造成不利影响。</w:t>
      </w:r>
    </w:p>
    <w:p w14:paraId="28B4515A">
      <w:pPr>
        <w:keepNext w:val="0"/>
        <w:keepLines w:val="0"/>
        <w:pageBreakBefore w:val="0"/>
        <w:widowControl w:val="0"/>
        <w:kinsoku/>
        <w:wordWrap w:val="0"/>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五、建设项目的环境影响评价文件经批准后，建设项目的性质、规模、地点、工艺或者环境保护措施发生重大变动时，建设单位应当重新报批建设项目的环境影响评价文件。                   </w:t>
      </w:r>
    </w:p>
    <w:p w14:paraId="7799C3C5">
      <w:pPr>
        <w:pStyle w:val="2"/>
        <w:keepNext w:val="0"/>
        <w:keepLines w:val="0"/>
        <w:pageBreakBefore w:val="0"/>
        <w:widowControl w:val="0"/>
        <w:kinsoku/>
        <w:wordWrap w:val="0"/>
        <w:overflowPunct/>
        <w:autoSpaceDE/>
        <w:autoSpaceDN/>
        <w:bidi w:val="0"/>
        <w:spacing w:line="576" w:lineRule="exact"/>
        <w:jc w:val="both"/>
        <w:textAlignment w:val="auto"/>
        <w:rPr>
          <w:rFonts w:hint="eastAsia"/>
          <w:lang w:val="en-US" w:eastAsia="zh-CN"/>
        </w:rPr>
      </w:pPr>
    </w:p>
    <w:p w14:paraId="33557738">
      <w:pPr>
        <w:keepNext w:val="0"/>
        <w:keepLines w:val="0"/>
        <w:pageBreakBefore w:val="0"/>
        <w:widowControl w:val="0"/>
        <w:kinsoku/>
        <w:wordWrap/>
        <w:overflowPunct/>
        <w:topLinePunct w:val="0"/>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六安市叶集区生态环境分局</w:t>
      </w:r>
    </w:p>
    <w:p w14:paraId="3BD5D0BD">
      <w:pPr>
        <w:keepNext w:val="0"/>
        <w:keepLines w:val="0"/>
        <w:pageBreakBefore w:val="0"/>
        <w:widowControl w:val="0"/>
        <w:kinsoku/>
        <w:wordWrap w:val="0"/>
        <w:overflowPunct/>
        <w:topLinePunct w:val="0"/>
        <w:autoSpaceDE/>
        <w:autoSpaceDN/>
        <w:bidi w:val="0"/>
        <w:spacing w:line="576"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color w:val="auto"/>
          <w:w w:val="100"/>
          <w:sz w:val="32"/>
          <w:szCs w:val="32"/>
          <w:lang w:val="en-US" w:eastAsia="zh-CN"/>
        </w:rPr>
        <w:t xml:space="preserve">  2025</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月</w:t>
      </w:r>
      <w:r>
        <w:rPr>
          <w:rFonts w:hint="default" w:ascii="Times New Roman" w:hAnsi="Times New Roman" w:eastAsia="仿宋_GB2312" w:cs="Times New Roman"/>
          <w:sz w:val="32"/>
          <w:szCs w:val="32"/>
          <w:lang w:val="en-US" w:eastAsia="zh-CN"/>
        </w:rPr>
        <w:t>13</w:t>
      </w:r>
      <w:r>
        <w:rPr>
          <w:rFonts w:hint="eastAsia" w:ascii="仿宋_GB2312" w:hAnsi="仿宋_GB2312" w:eastAsia="仿宋_GB2312" w:cs="仿宋_GB2312"/>
          <w:sz w:val="32"/>
          <w:szCs w:val="32"/>
          <w:lang w:val="en-US" w:eastAsia="zh-CN"/>
        </w:rPr>
        <w:t>日</w:t>
      </w:r>
    </w:p>
    <w:p w14:paraId="5AAF8C2F">
      <w:pPr>
        <w:pStyle w:val="2"/>
        <w:keepNext w:val="0"/>
        <w:keepLines w:val="0"/>
        <w:pageBreakBefore w:val="0"/>
        <w:widowControl w:val="0"/>
        <w:kinsoku/>
        <w:overflowPunct/>
        <w:autoSpaceDE/>
        <w:autoSpaceDN/>
        <w:bidi w:val="0"/>
        <w:spacing w:line="576" w:lineRule="exact"/>
        <w:jc w:val="both"/>
        <w:textAlignment w:val="auto"/>
        <w:rPr>
          <w:rFonts w:hint="eastAsia"/>
          <w:lang w:val="en-US" w:eastAsia="zh-CN"/>
        </w:rPr>
      </w:pPr>
    </w:p>
    <w:p w14:paraId="1F108AFC">
      <w:pPr>
        <w:rPr>
          <w:rFonts w:hint="eastAsia"/>
          <w:lang w:val="en-US" w:eastAsia="zh-CN"/>
        </w:rPr>
      </w:pPr>
    </w:p>
    <w:p w14:paraId="4E1037FC">
      <w:pPr>
        <w:pStyle w:val="2"/>
        <w:rPr>
          <w:rFonts w:hint="eastAsia"/>
          <w:lang w:val="en-US" w:eastAsia="zh-CN"/>
        </w:rPr>
      </w:pPr>
    </w:p>
    <w:p w14:paraId="6DA3B575">
      <w:pPr>
        <w:rPr>
          <w:rFonts w:hint="eastAsia"/>
          <w:lang w:val="en-US" w:eastAsia="zh-CN"/>
        </w:rPr>
      </w:pPr>
    </w:p>
    <w:p w14:paraId="297A1AF8">
      <w:pPr>
        <w:pStyle w:val="2"/>
        <w:ind w:left="0" w:leftChars="0" w:firstLine="0" w:firstLineChars="0"/>
        <w:rPr>
          <w:rFonts w:hint="eastAsia"/>
          <w:lang w:val="en-US" w:eastAsia="zh-CN"/>
        </w:rPr>
      </w:pPr>
    </w:p>
    <w:p w14:paraId="15C40831">
      <w:pPr>
        <w:rPr>
          <w:rFonts w:hint="eastAsia"/>
          <w:lang w:val="en-US" w:eastAsia="zh-CN"/>
        </w:rPr>
      </w:pPr>
    </w:p>
    <w:p w14:paraId="60B74599">
      <w:pPr>
        <w:pStyle w:val="2"/>
        <w:rPr>
          <w:rFonts w:hint="eastAsia"/>
          <w:lang w:val="en-US" w:eastAsia="zh-CN"/>
        </w:rPr>
      </w:pPr>
    </w:p>
    <w:p w14:paraId="347F8BA8">
      <w:pPr>
        <w:keepNext w:val="0"/>
        <w:keepLines w:val="0"/>
        <w:pageBreakBefore w:val="0"/>
        <w:widowControl w:val="0"/>
        <w:kinsoku/>
        <w:wordWrap w:val="0"/>
        <w:overflowPunct/>
        <w:topLinePunct/>
        <w:autoSpaceDE/>
        <w:autoSpaceDN/>
        <w:bidi w:val="0"/>
        <w:adjustRightInd w:val="0"/>
        <w:snapToGrid w:val="0"/>
        <w:spacing w:line="576" w:lineRule="exact"/>
        <w:ind w:left="420" w:leftChars="200" w:firstLine="0" w:firstLineChars="0"/>
        <w:jc w:val="both"/>
        <w:textAlignment w:val="auto"/>
        <w:rPr>
          <w:rFonts w:hint="eastAsia"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lang w:val="en-US" w:eastAsia="zh-CN"/>
        </w:rPr>
        <w:t>抄送：六安市叶集区洪集镇人民政府、六安市生态环境保护综合行政执法支队叶集区大队、安徽德水环境工程有限公司</w:t>
      </w:r>
    </w:p>
    <w:sectPr>
      <w:footerReference r:id="rId5" w:type="first"/>
      <w:footerReference r:id="rId3" w:type="default"/>
      <w:footerReference r:id="rId4" w:type="even"/>
      <w:pgSz w:w="11906" w:h="16838"/>
      <w:pgMar w:top="2098" w:right="1531" w:bottom="1984" w:left="1531" w:header="851" w:footer="1361"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F9731">
    <w:pPr>
      <w:pStyle w:val="5"/>
      <w:ind w:left="315" w:leftChars="150" w:right="315" w:rightChars="150"/>
      <w:jc w:val="right"/>
      <w:rPr>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FB4D">
    <w:pPr>
      <w:pStyle w:val="5"/>
      <w:ind w:left="315" w:leftChars="150" w:right="315" w:rightChars="150"/>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r>
      <w:rPr>
        <w:rFonts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3EFC6">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48605B8">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248605B8">
                    <w:pPr>
                      <w:snapToGrid w:val="0"/>
                      <w:rPr>
                        <w:rFonts w:hint="eastAsia" w:eastAsia="宋体"/>
                        <w:sz w:val="18"/>
                        <w:lang w:eastAsia="zh-CN"/>
                      </w:rPr>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DB56DB"/>
    <w:multiLevelType w:val="singleLevel"/>
    <w:tmpl w:val="66DB56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YmY2NDBlNjUxOWE4ODk1N2VjYjk4OTVjOTRiNGEifQ=="/>
  </w:docVars>
  <w:rsids>
    <w:rsidRoot w:val="00000000"/>
    <w:rsid w:val="00B1117D"/>
    <w:rsid w:val="01343A7F"/>
    <w:rsid w:val="025A782D"/>
    <w:rsid w:val="033B240C"/>
    <w:rsid w:val="04B9310D"/>
    <w:rsid w:val="05AC4EF2"/>
    <w:rsid w:val="06E96A02"/>
    <w:rsid w:val="0729326F"/>
    <w:rsid w:val="08D43138"/>
    <w:rsid w:val="0A132C02"/>
    <w:rsid w:val="0AE0796B"/>
    <w:rsid w:val="0BC24FD0"/>
    <w:rsid w:val="0C0046C9"/>
    <w:rsid w:val="0C0A26F5"/>
    <w:rsid w:val="0C295CBE"/>
    <w:rsid w:val="0D9178C8"/>
    <w:rsid w:val="0D933D59"/>
    <w:rsid w:val="0E5375A5"/>
    <w:rsid w:val="0EED205A"/>
    <w:rsid w:val="11036779"/>
    <w:rsid w:val="11111C04"/>
    <w:rsid w:val="116A5FD8"/>
    <w:rsid w:val="11A07ED7"/>
    <w:rsid w:val="128514A3"/>
    <w:rsid w:val="1285374D"/>
    <w:rsid w:val="128C2F7A"/>
    <w:rsid w:val="12B80FCE"/>
    <w:rsid w:val="13781BDD"/>
    <w:rsid w:val="13C2574A"/>
    <w:rsid w:val="150C68CB"/>
    <w:rsid w:val="161B669A"/>
    <w:rsid w:val="16BB1E0A"/>
    <w:rsid w:val="171D4AB1"/>
    <w:rsid w:val="182F341E"/>
    <w:rsid w:val="18C07105"/>
    <w:rsid w:val="1996608F"/>
    <w:rsid w:val="19DF3E6A"/>
    <w:rsid w:val="1A4513B4"/>
    <w:rsid w:val="1AFA6AEC"/>
    <w:rsid w:val="1C9415B7"/>
    <w:rsid w:val="1CDC4DD5"/>
    <w:rsid w:val="1D3C3FEF"/>
    <w:rsid w:val="1D7A639C"/>
    <w:rsid w:val="1E570B35"/>
    <w:rsid w:val="1F39255A"/>
    <w:rsid w:val="1F6251F7"/>
    <w:rsid w:val="1FFFE119"/>
    <w:rsid w:val="200D2C24"/>
    <w:rsid w:val="21714460"/>
    <w:rsid w:val="22C84860"/>
    <w:rsid w:val="2318468D"/>
    <w:rsid w:val="23BB11CE"/>
    <w:rsid w:val="24A130CA"/>
    <w:rsid w:val="25BD1BBE"/>
    <w:rsid w:val="26F2796A"/>
    <w:rsid w:val="277A1333"/>
    <w:rsid w:val="287844DA"/>
    <w:rsid w:val="290C6A42"/>
    <w:rsid w:val="29D03B05"/>
    <w:rsid w:val="2A8C0D0B"/>
    <w:rsid w:val="2B1716CE"/>
    <w:rsid w:val="2C774BC2"/>
    <w:rsid w:val="2C9044BF"/>
    <w:rsid w:val="2E311BD0"/>
    <w:rsid w:val="2E4A590F"/>
    <w:rsid w:val="2E9F45B0"/>
    <w:rsid w:val="2EE82182"/>
    <w:rsid w:val="2F2F7C22"/>
    <w:rsid w:val="315372CC"/>
    <w:rsid w:val="32207918"/>
    <w:rsid w:val="325D3A78"/>
    <w:rsid w:val="32637295"/>
    <w:rsid w:val="32BF3B8D"/>
    <w:rsid w:val="32F36EA7"/>
    <w:rsid w:val="337C76E9"/>
    <w:rsid w:val="33AF1889"/>
    <w:rsid w:val="346E2CE3"/>
    <w:rsid w:val="35651098"/>
    <w:rsid w:val="36FD79CA"/>
    <w:rsid w:val="38137C9C"/>
    <w:rsid w:val="38163A8F"/>
    <w:rsid w:val="396143E0"/>
    <w:rsid w:val="3A02191F"/>
    <w:rsid w:val="3A581CFB"/>
    <w:rsid w:val="3AFF61A3"/>
    <w:rsid w:val="3B785C82"/>
    <w:rsid w:val="3D973563"/>
    <w:rsid w:val="3E706C67"/>
    <w:rsid w:val="3E9305E9"/>
    <w:rsid w:val="3F933635"/>
    <w:rsid w:val="40A6415F"/>
    <w:rsid w:val="40C003E6"/>
    <w:rsid w:val="4151744A"/>
    <w:rsid w:val="416D05CB"/>
    <w:rsid w:val="43264553"/>
    <w:rsid w:val="43285775"/>
    <w:rsid w:val="43747266"/>
    <w:rsid w:val="43C34E50"/>
    <w:rsid w:val="44786A70"/>
    <w:rsid w:val="45C12C53"/>
    <w:rsid w:val="45EF2759"/>
    <w:rsid w:val="47083327"/>
    <w:rsid w:val="47234594"/>
    <w:rsid w:val="47C47D13"/>
    <w:rsid w:val="496A71E8"/>
    <w:rsid w:val="496C5191"/>
    <w:rsid w:val="496E43BA"/>
    <w:rsid w:val="499D71E3"/>
    <w:rsid w:val="49FF4443"/>
    <w:rsid w:val="4A761B16"/>
    <w:rsid w:val="4ABB1DE6"/>
    <w:rsid w:val="4AF57CD3"/>
    <w:rsid w:val="4AF71F82"/>
    <w:rsid w:val="4CB63384"/>
    <w:rsid w:val="4D302450"/>
    <w:rsid w:val="4DA16EA9"/>
    <w:rsid w:val="4DF76AE3"/>
    <w:rsid w:val="4E06542A"/>
    <w:rsid w:val="4E537616"/>
    <w:rsid w:val="4EEE556B"/>
    <w:rsid w:val="4FDB6156"/>
    <w:rsid w:val="51C9057C"/>
    <w:rsid w:val="5291745F"/>
    <w:rsid w:val="533455C2"/>
    <w:rsid w:val="54146A42"/>
    <w:rsid w:val="54947768"/>
    <w:rsid w:val="56497633"/>
    <w:rsid w:val="56B05707"/>
    <w:rsid w:val="57415259"/>
    <w:rsid w:val="5768396F"/>
    <w:rsid w:val="57985C67"/>
    <w:rsid w:val="57FEA6A8"/>
    <w:rsid w:val="5A984D1F"/>
    <w:rsid w:val="5BA43FB8"/>
    <w:rsid w:val="5BD06B9D"/>
    <w:rsid w:val="5BF569AE"/>
    <w:rsid w:val="5CE10298"/>
    <w:rsid w:val="5D2D47A4"/>
    <w:rsid w:val="5D8D11F8"/>
    <w:rsid w:val="5DAF4C1B"/>
    <w:rsid w:val="5F70492E"/>
    <w:rsid w:val="5F7F1950"/>
    <w:rsid w:val="5FF62FE3"/>
    <w:rsid w:val="60033C5A"/>
    <w:rsid w:val="60EA02FE"/>
    <w:rsid w:val="610076CF"/>
    <w:rsid w:val="61C2556D"/>
    <w:rsid w:val="61EC1054"/>
    <w:rsid w:val="61EF4230"/>
    <w:rsid w:val="6229476C"/>
    <w:rsid w:val="62D86700"/>
    <w:rsid w:val="63232A71"/>
    <w:rsid w:val="64724482"/>
    <w:rsid w:val="654A1A2B"/>
    <w:rsid w:val="6608004F"/>
    <w:rsid w:val="664A237C"/>
    <w:rsid w:val="66937ABF"/>
    <w:rsid w:val="6793565D"/>
    <w:rsid w:val="68003928"/>
    <w:rsid w:val="69C65855"/>
    <w:rsid w:val="6A0D6AD9"/>
    <w:rsid w:val="6AB31398"/>
    <w:rsid w:val="6BDA58FF"/>
    <w:rsid w:val="6D7813AB"/>
    <w:rsid w:val="6DA106B5"/>
    <w:rsid w:val="6EC96DB6"/>
    <w:rsid w:val="6F341871"/>
    <w:rsid w:val="6F7BB260"/>
    <w:rsid w:val="6F865AA7"/>
    <w:rsid w:val="704C7C5C"/>
    <w:rsid w:val="71E317EE"/>
    <w:rsid w:val="720A54C5"/>
    <w:rsid w:val="738F33AD"/>
    <w:rsid w:val="73F76F74"/>
    <w:rsid w:val="76615826"/>
    <w:rsid w:val="779D7C27"/>
    <w:rsid w:val="7A461991"/>
    <w:rsid w:val="7AC57DCC"/>
    <w:rsid w:val="7AD021D9"/>
    <w:rsid w:val="7AF47901"/>
    <w:rsid w:val="7B1F7DC3"/>
    <w:rsid w:val="7B477B38"/>
    <w:rsid w:val="7BBD6CF5"/>
    <w:rsid w:val="7C0A1723"/>
    <w:rsid w:val="7C1437E1"/>
    <w:rsid w:val="7C5D6993"/>
    <w:rsid w:val="7CA6352C"/>
    <w:rsid w:val="7CC86220"/>
    <w:rsid w:val="7CF820C9"/>
    <w:rsid w:val="7D162BE6"/>
    <w:rsid w:val="7E282B4B"/>
    <w:rsid w:val="7EFA236D"/>
    <w:rsid w:val="7FAFFBC2"/>
    <w:rsid w:val="B43A8602"/>
    <w:rsid w:val="B9CF5655"/>
    <w:rsid w:val="CE7B384D"/>
    <w:rsid w:val="EF5EEE5F"/>
    <w:rsid w:val="F6C7AE7D"/>
    <w:rsid w:val="FFF72A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qFormat/>
    <w:uiPriority w:val="0"/>
  </w:style>
  <w:style w:type="table" w:default="1" w:styleId="8">
    <w:name w:val="Normal Table"/>
    <w:autoRedefine/>
    <w:qFormat/>
    <w:uiPriority w:val="0"/>
    <w:tblPr>
      <w:tblCellMar>
        <w:top w:w="0" w:type="dxa"/>
        <w:left w:w="108" w:type="dxa"/>
        <w:bottom w:w="0" w:type="dxa"/>
        <w:right w:w="108" w:type="dxa"/>
      </w:tblCellMar>
    </w:tblPr>
  </w:style>
  <w:style w:type="paragraph" w:styleId="2">
    <w:name w:val="Body Text Indent 2"/>
    <w:basedOn w:val="1"/>
    <w:next w:val="1"/>
    <w:unhideWhenUsed/>
    <w:qFormat/>
    <w:uiPriority w:val="0"/>
    <w:pPr>
      <w:spacing w:after="120" w:line="480" w:lineRule="auto"/>
      <w:ind w:left="420" w:leftChars="200"/>
      <w:jc w:val="left"/>
    </w:pPr>
    <w:rPr>
      <w:rFonts w:ascii="Calibri" w:hAnsi="Calibri" w:eastAsia="宋体" w:cs="Times New Roman"/>
      <w:sz w:val="22"/>
      <w:lang w:eastAsia="en-US"/>
    </w:rPr>
  </w:style>
  <w:style w:type="paragraph" w:styleId="3">
    <w:name w:val="Body Text"/>
    <w:basedOn w:val="1"/>
    <w:next w:val="1"/>
    <w:qFormat/>
    <w:uiPriority w:val="0"/>
    <w:pPr>
      <w:widowControl/>
      <w:snapToGrid w:val="0"/>
      <w:spacing w:before="60" w:after="160" w:line="259" w:lineRule="auto"/>
      <w:ind w:right="113"/>
    </w:pPr>
    <w:rPr>
      <w:kern w:val="0"/>
      <w:sz w:val="18"/>
      <w:szCs w:val="20"/>
    </w:rPr>
  </w:style>
  <w:style w:type="paragraph" w:styleId="4">
    <w:name w:val="Plain Text"/>
    <w:basedOn w:val="1"/>
    <w:autoRedefine/>
    <w:qFormat/>
    <w:uiPriority w:val="0"/>
    <w:rPr>
      <w:rFonts w:ascii="宋体" w:hAnsi="Courier New"/>
      <w:kern w:val="0"/>
      <w:sz w:val="20"/>
      <w:szCs w:val="21"/>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表格文字-书"/>
    <w:autoRedefine/>
    <w:qFormat/>
    <w:uiPriority w:val="0"/>
    <w:pPr>
      <w:jc w:val="both"/>
    </w:pPr>
    <w:rPr>
      <w:rFonts w:ascii="Times New Roman" w:hAnsi="Times New Roman" w:eastAsia="宋体" w:cs="宋体"/>
      <w:kern w:val="0"/>
      <w:sz w:val="21"/>
      <w:szCs w:val="22"/>
      <w:lang w:val="en-US" w:eastAsia="zh-CN" w:bidi="ar-SA"/>
    </w:rPr>
  </w:style>
  <w:style w:type="paragraph" w:customStyle="1" w:styleId="13">
    <w:name w:val="报告正文"/>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4">
    <w:name w:val="0-正文（小四缩进2格）"/>
    <w:qFormat/>
    <w:uiPriority w:val="0"/>
    <w:pPr>
      <w:spacing w:line="360" w:lineRule="auto"/>
      <w:ind w:firstLine="200" w:firstLineChars="200"/>
      <w:jc w:val="both"/>
    </w:pPr>
    <w:rPr>
      <w:rFonts w:ascii="Times New Roman" w:hAnsi="Times New Roman" w:eastAsia="仿宋_GB2312" w:cstheme="minorBidi"/>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1678</Words>
  <Characters>1833</Characters>
  <Paragraphs>41</Paragraphs>
  <TotalTime>12</TotalTime>
  <ScaleCrop>false</ScaleCrop>
  <LinksUpToDate>false</LinksUpToDate>
  <CharactersWithSpaces>1913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2021-11-09T09:27:00Z</dcterms:created>
  <dc:creator>青山绿水</dc:creator>
  <cp:lastModifiedBy>姽婳</cp:lastModifiedBy>
  <cp:lastPrinted>2025-03-13T07:09:00Z</cp:lastPrinted>
  <dcterms:modified xsi:type="dcterms:W3CDTF">2025-06-16T01:29:10Z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1C22391DDA3B4007B41FEC2E9F51D72D_13</vt:lpwstr>
  </property>
  <property fmtid="{D5CDD505-2E9C-101B-9397-08002B2CF9AE}" pid="4" name="KSOTemplateDocerSaveRecord">
    <vt:lpwstr>eyJoZGlkIjoiMzNlYmY2NDBlNjUxOWE4ODk1N2VjYjk4OTVjOTRiNGEiLCJ1c2VySWQiOiIyNDM4NzU4NDcifQ==</vt:lpwstr>
  </property>
</Properties>
</file>