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Times New Roman" w:hAnsi="Times New Roman" w:eastAsia="华文仿宋"/>
          <w:color w:val="000000"/>
          <w:sz w:val="30"/>
          <w:szCs w:val="32"/>
          <w:lang w:val="en-US" w:eastAsia="zh-CN"/>
        </w:rPr>
      </w:pPr>
      <w:r>
        <w:rPr>
          <w:rFonts w:hint="eastAsia" w:ascii="Times New Roman" w:hAnsi="Times New Roman" w:eastAsia="华文仿宋"/>
          <w:color w:val="000000"/>
          <w:sz w:val="3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outlineLvl w:val="9"/>
        <w:rPr>
          <w:rFonts w:ascii="Times New Roman" w:hAnsi="Times New Roman"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ascii="Times New Roman" w:hAnsi="Times New Roman" w:eastAsia="华文仿宋"/>
          <w:color w:val="000000"/>
          <w:sz w:val="36"/>
          <w:szCs w:val="36"/>
        </w:rPr>
      </w:pPr>
    </w:p>
    <w:p>
      <w:pPr>
        <w:keepNext w:val="0"/>
        <w:keepLines w:val="0"/>
        <w:pageBreakBefore w:val="0"/>
        <w:widowControl w:val="0"/>
        <w:tabs>
          <w:tab w:val="left" w:pos="210"/>
        </w:tabs>
        <w:kinsoku/>
        <w:wordWrap/>
        <w:overflowPunct/>
        <w:topLinePunct w:val="0"/>
        <w:autoSpaceDE/>
        <w:autoSpaceDN/>
        <w:bidi w:val="0"/>
        <w:adjustRightInd/>
        <w:snapToGrid/>
        <w:spacing w:line="594" w:lineRule="exact"/>
        <w:ind w:left="218" w:leftChars="104" w:right="315" w:rightChars="15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叶</w:t>
      </w:r>
      <w:r>
        <w:rPr>
          <w:rFonts w:hint="eastAsia" w:ascii="仿宋_GB2312" w:hAnsi="仿宋_GB2312" w:eastAsia="仿宋_GB2312" w:cs="仿宋_GB2312"/>
          <w:color w:val="000000"/>
          <w:sz w:val="32"/>
          <w:szCs w:val="32"/>
          <w:lang w:eastAsia="zh-CN"/>
        </w:rPr>
        <w:t>民</w:t>
      </w:r>
      <w:r>
        <w:rPr>
          <w:rFonts w:hint="eastAsia" w:ascii="仿宋_GB2312" w:hAnsi="仿宋_GB2312" w:eastAsia="仿宋_GB2312" w:cs="仿宋_GB2312"/>
          <w:color w:val="000000"/>
          <w:sz w:val="32"/>
          <w:szCs w:val="32"/>
          <w:lang w:val="en-US" w:eastAsia="zh-CN"/>
        </w:rPr>
        <w:t>党组</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lang w:eastAsia="zh-CN"/>
        </w:rPr>
        <w:t>20</w:t>
      </w:r>
      <w:r>
        <w:rPr>
          <w:rFonts w:hint="default" w:ascii="Times New Roman" w:hAnsi="Times New Roman" w:eastAsia="仿宋_GB2312" w:cs="Times New Roman"/>
          <w:color w:val="000000"/>
          <w:sz w:val="32"/>
          <w:szCs w:val="32"/>
          <w:lang w:val="en-US" w:eastAsia="zh-CN"/>
        </w:rPr>
        <w:t>24</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ascii="Times New Roman" w:hAnsi="Times New Roman" w:eastAsia="华文仿宋"/>
          <w:color w:val="000000"/>
          <w:sz w:val="36"/>
          <w:szCs w:val="36"/>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both"/>
        <w:textAlignment w:val="auto"/>
        <w:outlineLvl w:val="9"/>
        <w:rPr>
          <w:rFonts w:ascii="Times New Roman" w:hAnsi="Times New Roman" w:eastAsia="华文仿宋"/>
          <w:color w:val="000000"/>
          <w:sz w:val="28"/>
          <w:szCs w:val="28"/>
        </w:rPr>
      </w:pPr>
    </w:p>
    <w:p>
      <w:pPr>
        <w:spacing w:line="576" w:lineRule="exact"/>
        <w:jc w:val="center"/>
        <w:rPr>
          <w:rFonts w:hint="eastAsia" w:eastAsia="方正小标宋简体"/>
          <w:bCs/>
          <w:snapToGrid w:val="0"/>
          <w:kern w:val="0"/>
          <w:sz w:val="44"/>
          <w:szCs w:val="44"/>
        </w:rPr>
      </w:pPr>
      <w:bookmarkStart w:id="0" w:name="OLE_LINK1"/>
      <w:r>
        <w:rPr>
          <w:rFonts w:hint="eastAsia" w:eastAsia="方正小标宋简体"/>
          <w:bCs/>
          <w:snapToGrid w:val="0"/>
          <w:kern w:val="0"/>
          <w:sz w:val="44"/>
          <w:szCs w:val="44"/>
        </w:rPr>
        <w:t>中共六安市叶集</w:t>
      </w:r>
      <w:r>
        <w:rPr>
          <w:rFonts w:hint="eastAsia" w:eastAsia="方正小标宋简体"/>
          <w:bCs/>
          <w:snapToGrid w:val="0"/>
          <w:kern w:val="0"/>
          <w:sz w:val="44"/>
          <w:szCs w:val="44"/>
          <w:lang w:val="en-US" w:eastAsia="zh-CN"/>
        </w:rPr>
        <w:t>区民政局党组</w:t>
      </w:r>
      <w:r>
        <w:rPr>
          <w:rFonts w:hint="eastAsia" w:eastAsia="方正小标宋简体"/>
          <w:bCs/>
          <w:snapToGrid w:val="0"/>
          <w:kern w:val="0"/>
          <w:sz w:val="44"/>
          <w:szCs w:val="44"/>
        </w:rPr>
        <w:t>关于</w:t>
      </w:r>
      <w:r>
        <w:rPr>
          <w:rFonts w:hint="default" w:ascii="Times New Roman" w:hAnsi="Times New Roman" w:eastAsia="方正小标宋简体" w:cs="Times New Roman"/>
          <w:bCs/>
          <w:snapToGrid w:val="0"/>
          <w:kern w:val="0"/>
          <w:sz w:val="44"/>
          <w:szCs w:val="44"/>
        </w:rPr>
        <w:t>202</w:t>
      </w:r>
      <w:r>
        <w:rPr>
          <w:rFonts w:hint="default" w:ascii="Times New Roman" w:hAnsi="Times New Roman" w:eastAsia="方正小标宋简体" w:cs="Times New Roman"/>
          <w:bCs/>
          <w:snapToGrid w:val="0"/>
          <w:kern w:val="0"/>
          <w:sz w:val="44"/>
          <w:szCs w:val="44"/>
          <w:lang w:val="en-US" w:eastAsia="zh-CN"/>
        </w:rPr>
        <w:t>4</w:t>
      </w:r>
      <w:r>
        <w:rPr>
          <w:rFonts w:hint="eastAsia" w:eastAsia="方正小标宋简体"/>
          <w:bCs/>
          <w:snapToGrid w:val="0"/>
          <w:kern w:val="0"/>
          <w:sz w:val="44"/>
          <w:szCs w:val="44"/>
        </w:rPr>
        <w:t>年度落实党风廉政建设责任制情况的报告</w:t>
      </w:r>
    </w:p>
    <w:bookmarkEnd w:id="0"/>
    <w:p>
      <w:pPr>
        <w:spacing w:line="576" w:lineRule="exact"/>
        <w:jc w:val="center"/>
        <w:rPr>
          <w:rFonts w:hint="eastAsia"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36" w:lineRule="exact"/>
        <w:textAlignment w:val="auto"/>
        <w:rPr>
          <w:rFonts w:hint="eastAsia" w:ascii="仿宋_GB2312" w:hAnsi="仿宋_GB2312" w:eastAsia="仿宋_GB2312" w:cs="仿宋_GB2312"/>
          <w:sz w:val="32"/>
          <w:szCs w:val="32"/>
          <w:lang w:val="en-US" w:eastAsia="zh-CN"/>
        </w:rPr>
      </w:pPr>
      <w:bookmarkStart w:id="1" w:name="OLE_LINK2"/>
      <w:r>
        <w:rPr>
          <w:rFonts w:hint="eastAsia" w:ascii="仿宋_GB2312" w:hAnsi="仿宋_GB2312" w:eastAsia="仿宋_GB2312" w:cs="仿宋_GB2312"/>
          <w:sz w:val="32"/>
          <w:szCs w:val="32"/>
          <w:lang w:val="en-US" w:eastAsia="zh-CN"/>
        </w:rPr>
        <w:t>区委：</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区民政局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委的坚强领导下</w:t>
      </w:r>
      <w:r>
        <w:rPr>
          <w:rFonts w:hint="eastAsia" w:ascii="仿宋_GB2312" w:hAnsi="仿宋_GB2312" w:eastAsia="仿宋_GB2312" w:cs="仿宋_GB2312"/>
          <w:sz w:val="32"/>
          <w:szCs w:val="32"/>
          <w:lang w:val="en-US" w:eastAsia="zh-CN"/>
        </w:rPr>
        <w:t>和区纪委监委的精心指导下</w:t>
      </w:r>
      <w:r>
        <w:rPr>
          <w:rFonts w:hint="eastAsia" w:ascii="仿宋_GB2312" w:hAnsi="仿宋_GB2312" w:eastAsia="仿宋_GB2312" w:cs="仿宋_GB2312"/>
          <w:sz w:val="32"/>
          <w:szCs w:val="32"/>
        </w:rPr>
        <w:t>，坚持以习近平新时代中国特色社会主义思想为指导，认真贯彻落实党的二十大和二十届历次全会精神，着力打造清廉民政，强化全面从严治党，深入推进党风廉政建设和反腐败工作，现将有关情况报告如下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一、落实党风廉政建设责任制情况</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强化政治担当，落实主体责任</w:t>
      </w:r>
      <w:r>
        <w:rPr>
          <w:rFonts w:hint="eastAsia" w:ascii="楷体_GB2312" w:hAnsi="楷体_GB2312" w:eastAsia="楷体_GB2312" w:cs="楷体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严格执行“第一议题”学习制度，抓好经常性学习教育，出台《区民政局</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年度党建工作要点》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《区民政局</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年度党组理论学习中心组学习计划》</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《中共六安市叶集区民政局党组</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年度落实全面从严治党主体责任工作计划》，将党建与民政工作相结合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全面提升机关</w:t>
      </w:r>
      <w:r>
        <w:rPr>
          <w:rFonts w:hint="eastAsia" w:ascii="仿宋_GB2312" w:hAnsi="仿宋_GB2312" w:eastAsia="仿宋_GB2312" w:cs="仿宋_GB2312"/>
          <w:sz w:val="32"/>
          <w:szCs w:val="32"/>
          <w:lang w:val="en-US" w:eastAsia="zh-CN"/>
        </w:rPr>
        <w:t>党建</w:t>
      </w:r>
      <w:r>
        <w:rPr>
          <w:rFonts w:hint="eastAsia" w:ascii="仿宋_GB2312" w:hAnsi="仿宋_GB2312" w:eastAsia="仿宋_GB2312" w:cs="仿宋_GB2312"/>
          <w:sz w:val="32"/>
          <w:szCs w:val="32"/>
        </w:rPr>
        <w:t>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扎实开展</w:t>
      </w:r>
      <w:r>
        <w:rPr>
          <w:rFonts w:hint="eastAsia" w:ascii="仿宋_GB2312" w:hAnsi="仿宋_GB2312" w:eastAsia="仿宋_GB2312" w:cs="仿宋_GB2312"/>
          <w:sz w:val="32"/>
          <w:szCs w:val="32"/>
          <w:lang w:val="en-US" w:eastAsia="zh-CN"/>
        </w:rPr>
        <w:t>党纪学习</w:t>
      </w:r>
      <w:r>
        <w:rPr>
          <w:rFonts w:hint="eastAsia" w:ascii="仿宋_GB2312" w:hAnsi="仿宋_GB2312" w:eastAsia="仿宋_GB2312" w:cs="仿宋_GB2312"/>
          <w:sz w:val="32"/>
          <w:szCs w:val="32"/>
        </w:rPr>
        <w:t>教育，成立领导小组，制定</w:t>
      </w:r>
      <w:r>
        <w:rPr>
          <w:rFonts w:hint="eastAsia" w:ascii="仿宋_GB2312" w:hAnsi="仿宋_GB2312" w:eastAsia="仿宋_GB2312" w:cs="仿宋_GB2312"/>
          <w:sz w:val="32"/>
          <w:szCs w:val="32"/>
          <w:lang w:val="en-US" w:eastAsia="zh-CN"/>
        </w:rPr>
        <w:t>行事历</w:t>
      </w:r>
      <w:r>
        <w:rPr>
          <w:rFonts w:hint="eastAsia" w:ascii="仿宋_GB2312" w:hAnsi="仿宋_GB2312" w:eastAsia="仿宋_GB2312" w:cs="仿宋_GB2312"/>
          <w:sz w:val="32"/>
          <w:szCs w:val="32"/>
        </w:rPr>
        <w:t>，坚持学思用贯通、知信行统一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推进落实党风廉政建设责任制规范、细致；</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局党组带头抓意识形态工作。有效推动意识形态工作责任制不折不扣落实到位，工作动态先后被中国社会报、新华网、</w:t>
      </w:r>
      <w:r>
        <w:rPr>
          <w:rFonts w:hint="eastAsia" w:ascii="仿宋_GB2312" w:hAnsi="仿宋_GB2312" w:eastAsia="仿宋_GB2312" w:cs="仿宋_GB2312"/>
          <w:sz w:val="32"/>
          <w:szCs w:val="32"/>
          <w:lang w:val="en-US" w:eastAsia="zh-CN"/>
        </w:rPr>
        <w:t>皖西日报、中安在线</w:t>
      </w:r>
      <w:r>
        <w:rPr>
          <w:rFonts w:hint="eastAsia" w:ascii="仿宋_GB2312" w:hAnsi="仿宋_GB2312" w:eastAsia="仿宋_GB2312" w:cs="仿宋_GB2312"/>
          <w:sz w:val="32"/>
          <w:szCs w:val="32"/>
        </w:rPr>
        <w:t>等媒体报道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以“业务</w:t>
      </w:r>
      <w:r>
        <w:rPr>
          <w:rFonts w:hint="eastAsia" w:ascii="仿宋_GB2312" w:hAnsi="仿宋_GB2312" w:eastAsia="仿宋_GB2312" w:cs="仿宋_GB2312"/>
          <w:sz w:val="32"/>
          <w:szCs w:val="32"/>
          <w:lang w:val="en-US" w:eastAsia="zh-CN"/>
        </w:rPr>
        <w:t>半月谈</w:t>
      </w:r>
      <w:r>
        <w:rPr>
          <w:rFonts w:hint="eastAsia" w:ascii="仿宋_GB2312" w:hAnsi="仿宋_GB2312" w:eastAsia="仿宋_GB2312" w:cs="仿宋_GB2312"/>
          <w:sz w:val="32"/>
          <w:szCs w:val="32"/>
        </w:rPr>
        <w:t>”为载体，开展</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干部业务培训活动，不断提升</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系统干部业务能力和水平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截至</w:t>
      </w:r>
      <w:bookmarkStart w:id="2" w:name="_GoBack"/>
      <w:bookmarkEnd w:id="2"/>
      <w:r>
        <w:rPr>
          <w:rFonts w:hint="eastAsia" w:ascii="仿宋_GB2312" w:hAnsi="仿宋_GB2312" w:eastAsia="仿宋_GB2312" w:cs="仿宋_GB2312"/>
          <w:sz w:val="32"/>
          <w:szCs w:val="32"/>
          <w:lang w:val="en-US" w:eastAsia="zh-CN"/>
        </w:rPr>
        <w:t>目前共开展“业务半月谈”</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开展廉政教育，鼓励担当作为</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开展护苗行动，</w:t>
      </w:r>
      <w:r>
        <w:rPr>
          <w:rFonts w:hint="eastAsia" w:ascii="仿宋_GB2312" w:hAnsi="仿宋_GB2312" w:eastAsia="仿宋_GB2312" w:cs="仿宋_GB2312"/>
          <w:sz w:val="32"/>
          <w:szCs w:val="32"/>
          <w:lang w:eastAsia="zh-CN"/>
        </w:rPr>
        <w:t>为我局</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名年轻干部</w:t>
      </w:r>
      <w:r>
        <w:rPr>
          <w:rFonts w:hint="eastAsia" w:ascii="仿宋_GB2312" w:hAnsi="仿宋_GB2312" w:eastAsia="仿宋_GB2312" w:cs="仿宋_GB2312"/>
          <w:sz w:val="32"/>
          <w:szCs w:val="32"/>
          <w:lang w:eastAsia="zh-CN"/>
        </w:rPr>
        <w:t>建立健全年轻干部廉情信息台账，</w:t>
      </w:r>
      <w:r>
        <w:rPr>
          <w:rFonts w:hint="eastAsia" w:ascii="仿宋_GB2312" w:hAnsi="仿宋_GB2312" w:eastAsia="仿宋_GB2312" w:cs="仿宋_GB2312"/>
          <w:sz w:val="32"/>
          <w:szCs w:val="32"/>
          <w:lang w:val="en-US" w:eastAsia="zh-CN"/>
        </w:rPr>
        <w:t>区民政局“护林员”定期开展廉政家访和谈心谈话，紧盯党风廉政建设薄弱环节和隐形变异“四风”问题，深入摸排年轻干部存在的岗位廉政风险，根据实际制定切实可行的防范措施，全局</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名年轻干部全部针对性制定岗位廉政风险排查</w:t>
      </w:r>
      <w:r>
        <w:rPr>
          <w:rStyle w:val="9"/>
          <w:rFonts w:hint="eastAsia" w:ascii="仿宋_GB2312" w:hAnsi="仿宋_GB2312" w:eastAsia="仿宋_GB2312" w:cs="仿宋_GB2312"/>
          <w:b w:val="0"/>
          <w:bCs/>
          <w:sz w:val="32"/>
          <w:szCs w:val="32"/>
          <w:lang w:val="en-US" w:eastAsia="zh-CN"/>
        </w:rPr>
        <w:t>防控清单，并报送</w:t>
      </w:r>
      <w:r>
        <w:rPr>
          <w:rStyle w:val="9"/>
          <w:rFonts w:hint="eastAsia" w:ascii="仿宋_GB2312" w:hAnsi="仿宋_GB2312" w:eastAsia="仿宋_GB2312" w:cs="仿宋_GB2312"/>
          <w:b w:val="0"/>
          <w:bCs/>
          <w:sz w:val="32"/>
          <w:szCs w:val="32"/>
        </w:rPr>
        <w:t>区纪委监委派驻第</w:t>
      </w:r>
      <w:r>
        <w:rPr>
          <w:rStyle w:val="9"/>
          <w:rFonts w:hint="eastAsia" w:ascii="仿宋_GB2312" w:hAnsi="仿宋_GB2312" w:eastAsia="仿宋_GB2312" w:cs="仿宋_GB2312"/>
          <w:b w:val="0"/>
          <w:bCs/>
          <w:sz w:val="32"/>
          <w:szCs w:val="32"/>
          <w:lang w:val="en-US" w:eastAsia="zh-CN"/>
        </w:rPr>
        <w:t>一</w:t>
      </w:r>
      <w:r>
        <w:rPr>
          <w:rStyle w:val="9"/>
          <w:rFonts w:hint="eastAsia" w:ascii="仿宋_GB2312" w:hAnsi="仿宋_GB2312" w:eastAsia="仿宋_GB2312" w:cs="仿宋_GB2312"/>
          <w:b w:val="0"/>
          <w:bCs/>
          <w:sz w:val="32"/>
          <w:szCs w:val="32"/>
        </w:rPr>
        <w:t>纪检监察组</w:t>
      </w:r>
      <w:r>
        <w:rPr>
          <w:rStyle w:val="9"/>
          <w:rFonts w:hint="eastAsia" w:ascii="仿宋_GB2312" w:hAnsi="仿宋_GB2312" w:eastAsia="仿宋_GB2312" w:cs="仿宋_GB2312"/>
          <w:b w:val="0"/>
          <w:bCs/>
          <w:sz w:val="32"/>
          <w:szCs w:val="32"/>
          <w:lang w:eastAsia="zh-CN"/>
        </w:rPr>
        <w:t>进行报备</w:t>
      </w:r>
      <w:r>
        <w:rPr>
          <w:rStyle w:val="9"/>
          <w:rFonts w:hint="eastAsia" w:ascii="仿宋_GB2312" w:hAnsi="仿宋_GB2312" w:eastAsia="仿宋_GB2312" w:cs="仿宋_GB2312"/>
          <w:b w:val="0"/>
          <w:bCs/>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组织召开从严治党专题会议和党风廉政建设专题会议，</w:t>
      </w:r>
      <w:r>
        <w:rPr>
          <w:rFonts w:hint="eastAsia" w:ascii="仿宋_GB2312" w:hAnsi="仿宋_GB2312" w:eastAsia="仿宋_GB2312" w:cs="仿宋_GB2312"/>
          <w:sz w:val="32"/>
          <w:szCs w:val="32"/>
        </w:rPr>
        <w:t>集中学习《中国共产党章程》、《条例》、《准则》等党纪法规和规章制度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观看警示教育片、参观廉政警示教育基地、通报典型案例等形式多样的党风廉政建设专题教育活动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筑牢干部拒腐防变思想防线；</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lang w:val="en-US" w:eastAsia="zh-CN"/>
        </w:rPr>
        <w:t>局党组书记为全体干部职工</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rPr>
        <w:t>廉政党课，勉励党员干部进一步遵纪守法、担当作为。</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聚焦重点任务，深化责任落实。一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rPr>
        <w:t>深入推进民政领域群众身边不正之风和腐败问题集中整治工作</w:t>
      </w:r>
      <w:r>
        <w:rPr>
          <w:rFonts w:hint="eastAsia" w:ascii="仿宋_GB2312" w:hAnsi="仿宋_GB2312" w:eastAsia="仿宋_GB2312" w:cs="仿宋_GB2312"/>
          <w:sz w:val="32"/>
          <w:szCs w:val="32"/>
          <w:lang w:val="en-US" w:eastAsia="zh-CN"/>
        </w:rPr>
        <w:t>和整治殡葬领域腐败乱象专项行动。出台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深入开展民政领域群众身边不正之风和腐败问题集中整治</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《六安市叶集区殡葬领域突出问题专项整治实施方案》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聚焦社会救助“人情保”、“关系保”；殡葬行业遗体接运价格不合理及其他问题。</w:t>
      </w:r>
      <w:r>
        <w:rPr>
          <w:rFonts w:hint="eastAsia" w:ascii="仿宋_GB2312" w:hAnsi="仿宋_GB2312" w:eastAsia="仿宋_GB2312" w:cs="仿宋_GB2312"/>
          <w:sz w:val="32"/>
          <w:szCs w:val="32"/>
        </w:rPr>
        <w:t>指导各</w:t>
      </w:r>
      <w:r>
        <w:rPr>
          <w:rFonts w:hint="eastAsia" w:ascii="仿宋_GB2312" w:hAnsi="仿宋_GB2312" w:eastAsia="仿宋_GB2312" w:cs="仿宋_GB2312"/>
          <w:sz w:val="32"/>
          <w:szCs w:val="32"/>
          <w:lang w:val="en-US" w:eastAsia="zh-CN"/>
        </w:rPr>
        <w:t>乡镇（街）</w:t>
      </w:r>
      <w:r>
        <w:rPr>
          <w:rFonts w:hint="eastAsia" w:ascii="仿宋_GB2312" w:hAnsi="仿宋_GB2312" w:eastAsia="仿宋_GB2312" w:cs="仿宋_GB2312"/>
          <w:sz w:val="32"/>
          <w:szCs w:val="32"/>
        </w:rPr>
        <w:t>紧盯整治重点任务，排查</w:t>
      </w:r>
      <w:r>
        <w:rPr>
          <w:rFonts w:hint="eastAsia" w:ascii="仿宋_GB2312" w:hAnsi="仿宋_GB2312" w:eastAsia="仿宋_GB2312" w:cs="仿宋_GB2312"/>
          <w:sz w:val="32"/>
          <w:szCs w:val="32"/>
          <w:lang w:val="en-US" w:eastAsia="zh-CN"/>
        </w:rPr>
        <w:t>殡葬行业遗体接运价格</w:t>
      </w:r>
      <w:r>
        <w:rPr>
          <w:rFonts w:hint="eastAsia" w:ascii="仿宋_GB2312" w:hAnsi="仿宋_GB2312" w:eastAsia="仿宋_GB2312" w:cs="仿宋_GB2312"/>
          <w:sz w:val="32"/>
          <w:szCs w:val="32"/>
        </w:rPr>
        <w:t>收费不规范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变相推销高价骨灰盒</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殡葬服务用品</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组织所有殡葬车辆驾驶员签订《殡葬专用车辆驾驶员承诺书》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与霍邱县殡仪馆签订《殡葬服务协议书》，</w:t>
      </w:r>
      <w:r>
        <w:rPr>
          <w:rFonts w:hint="eastAsia" w:ascii="仿宋_GB2312" w:eastAsia="仿宋_GB2312"/>
          <w:sz w:val="32"/>
          <w:szCs w:val="32"/>
        </w:rPr>
        <w:t>明确双方责任与义务；</w:t>
      </w:r>
      <w:r>
        <w:rPr>
          <w:rFonts w:hint="eastAsia" w:ascii="仿宋_GB2312" w:eastAsia="仿宋_GB2312"/>
          <w:b/>
          <w:bCs/>
          <w:sz w:val="32"/>
          <w:szCs w:val="32"/>
          <w:lang w:val="en-US" w:eastAsia="zh-CN"/>
        </w:rPr>
        <w:t>二是</w:t>
      </w:r>
      <w:r>
        <w:rPr>
          <w:rFonts w:hint="eastAsia" w:ascii="仿宋_GB2312" w:hAnsi="仿宋_GB2312" w:eastAsia="仿宋_GB2312" w:cs="仿宋_GB2312"/>
          <w:sz w:val="32"/>
          <w:szCs w:val="32"/>
          <w:lang w:val="en-US" w:eastAsia="zh-CN"/>
        </w:rPr>
        <w:t>规范殡葬行业收费项目。借鉴周边县区做法，召开全区殡葬行业指导价格会商会议，联合发改、财政部门出台《关于殡葬行业部分收费项目实行指导性价格的通知》（叶民【</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号），</w:t>
      </w:r>
      <w:r>
        <w:rPr>
          <w:rFonts w:hint="eastAsia" w:ascii="仿宋_GB2312" w:eastAsia="仿宋_GB2312"/>
          <w:sz w:val="32"/>
          <w:szCs w:val="32"/>
        </w:rPr>
        <w:t>明确限制骨灰盒价格，对延伸服务的项目、价格进行限制，切实减轻群众负担</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组织相关干部职工填写《涉殡葬领域干部职工个人自查自纠事项报告表》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立足尽早发现问题，尽早纠正整治。</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四）积极</w:t>
      </w:r>
      <w:r>
        <w:rPr>
          <w:rFonts w:hint="eastAsia" w:ascii="楷体_GB2312" w:hAnsi="楷体_GB2312" w:eastAsia="楷体_GB2312" w:cs="楷体_GB2312"/>
          <w:sz w:val="32"/>
          <w:szCs w:val="32"/>
        </w:rPr>
        <w:t>配合巡察</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整治殡葬秩序</w:t>
      </w:r>
      <w:r>
        <w:rPr>
          <w:rFonts w:hint="eastAsia" w:ascii="楷体_GB2312" w:hAnsi="楷体_GB2312" w:eastAsia="楷体_GB2312" w:cs="楷体_GB2312"/>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整治殡葬市场</w:t>
      </w:r>
      <w:r>
        <w:rPr>
          <w:rFonts w:hint="eastAsia" w:ascii="仿宋_GB2312" w:hAnsi="仿宋_GB2312" w:eastAsia="仿宋_GB2312" w:cs="仿宋_GB2312"/>
          <w:sz w:val="32"/>
          <w:szCs w:val="32"/>
        </w:rPr>
        <w:t>秩序。区民政局对全区灵车进行全面摸排，对合格灵车按经营区域进行登记，对多次跨区域经营的灵车取消营运资格</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个月。对已登记的灵车要求更换区域的不予办理并批评教育。联合市场监管部门对殡葬服务市场开展监督检查，禁止销售封建迷信用品。对三元镇殡仪服务店铺销售棺木行为责令禁止，有效整治殡仪服务市场秩序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目前我区有</w:t>
      </w:r>
      <w:r>
        <w:rPr>
          <w:rFonts w:hint="default" w:ascii="Times New Roman" w:hAnsi="Times New Roman" w:eastAsia="仿宋_GB2312" w:cs="Times New Roman"/>
          <w:sz w:val="32"/>
          <w:szCs w:val="32"/>
        </w:rPr>
        <w:t>19</w:t>
      </w:r>
      <w:r>
        <w:rPr>
          <w:rFonts w:hint="eastAsia" w:ascii="仿宋_GB2312" w:hAnsi="仿宋_GB2312" w:eastAsia="仿宋_GB2312" w:cs="仿宋_GB2312"/>
          <w:sz w:val="32"/>
          <w:szCs w:val="32"/>
        </w:rPr>
        <w:t>辆灵车在运营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积极配合专项巡察。</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25</w:t>
      </w:r>
      <w:r>
        <w:rPr>
          <w:rFonts w:hint="eastAsia" w:ascii="仿宋_GB2312" w:hAnsi="仿宋_GB2312" w:eastAsia="仿宋_GB2312" w:cs="仿宋_GB2312"/>
          <w:sz w:val="32"/>
          <w:szCs w:val="32"/>
        </w:rPr>
        <w:t>日市委提级交叉巡察组对叶集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殡葬领域各项工作开展全面巡察。区民政局</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各职能部门全力配合巡察组</w:t>
      </w:r>
      <w:r>
        <w:rPr>
          <w:rFonts w:hint="eastAsia" w:ascii="仿宋_GB2312" w:hAnsi="仿宋_GB2312" w:eastAsia="仿宋_GB2312" w:cs="仿宋_GB2312"/>
          <w:sz w:val="32"/>
          <w:szCs w:val="32"/>
          <w:lang w:val="en-US" w:eastAsia="zh-CN"/>
        </w:rPr>
        <w:t>工作，积极提供各项</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组织相关人员</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巡察组谈</w:t>
      </w:r>
      <w:r>
        <w:rPr>
          <w:rFonts w:hint="eastAsia" w:ascii="仿宋_GB2312" w:hAnsi="仿宋_GB2312" w:eastAsia="仿宋_GB2312" w:cs="仿宋_GB2312"/>
          <w:sz w:val="32"/>
          <w:szCs w:val="32"/>
          <w:lang w:val="en-US" w:eastAsia="zh-CN"/>
        </w:rPr>
        <w:t>话和</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现场开展调查。</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（五）加强财务监管，防范风险隐患。</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严格落实中央八项规定精神，合理编制预算，</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支出一律从严核定标准。严格公务用车管理、公务接待、津补贴、招投标和政府采购等方面规范申请和审批流程，严格执行财务管理有关制度要求，严格控制“三公经费”支出。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开展廉政风险点排查，对排查出的廉政风险点，逐项研究制定具体的防控措施、治理目标、治理措施、责任领导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确保权力运行牢牢关进制度的笼子里。</w:t>
      </w:r>
    </w:p>
    <w:p>
      <w:pPr>
        <w:keepNext w:val="0"/>
        <w:keepLines w:val="0"/>
        <w:pageBreakBefore w:val="0"/>
        <w:widowControl w:val="0"/>
        <w:tabs>
          <w:tab w:val="left" w:pos="7560"/>
        </w:tabs>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（六）问题整改情况。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规矩纪律意识不够强</w:t>
      </w:r>
      <w:r>
        <w:rPr>
          <w:rFonts w:hint="eastAsia" w:ascii="仿宋_GB2312" w:hAnsi="仿宋_GB2312" w:eastAsia="仿宋_GB2312" w:cs="仿宋_GB2312"/>
          <w:sz w:val="32"/>
          <w:szCs w:val="32"/>
          <w:lang w:val="en-US" w:eastAsia="zh-CN"/>
        </w:rPr>
        <w:t>方面：局党组</w:t>
      </w:r>
      <w:r>
        <w:rPr>
          <w:rFonts w:hint="eastAsia" w:ascii="仿宋_GB2312" w:hAnsi="仿宋_GB2312" w:eastAsia="仿宋_GB2312" w:cs="仿宋_GB2312"/>
          <w:sz w:val="32"/>
          <w:szCs w:val="32"/>
        </w:rPr>
        <w:t>加强思想教育，提高规矩纪律意识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组织民政系统干部职工深入学习党的路线、方针、政策，特别是关于民政工作的相关政策法规，提高政治站位，增强规矩纪律意识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风险防范意识不够强</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强化风险教育，提升全员防范意识将风险教育纳入民政部门日常工作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集中学习、</w:t>
      </w:r>
      <w:r>
        <w:rPr>
          <w:rFonts w:hint="eastAsia" w:ascii="仿宋_GB2312" w:hAnsi="仿宋_GB2312" w:eastAsia="仿宋_GB2312" w:cs="仿宋_GB2312"/>
          <w:sz w:val="32"/>
          <w:szCs w:val="32"/>
        </w:rPr>
        <w:t>内部会议等多种形式，持续宣传风险防范的重要性和必要性，根据风险管理的需要，明确各</w:t>
      </w:r>
      <w:r>
        <w:rPr>
          <w:rFonts w:hint="eastAsia" w:ascii="仿宋_GB2312" w:hAnsi="仿宋_GB2312" w:eastAsia="仿宋_GB2312" w:cs="仿宋_GB2312"/>
          <w:sz w:val="32"/>
          <w:szCs w:val="32"/>
          <w:lang w:val="en-US" w:eastAsia="zh-CN"/>
        </w:rPr>
        <w:t>股室</w:t>
      </w:r>
      <w:r>
        <w:rPr>
          <w:rFonts w:hint="eastAsia" w:ascii="仿宋_GB2312" w:hAnsi="仿宋_GB2312" w:eastAsia="仿宋_GB2312" w:cs="仿宋_GB2312"/>
          <w:sz w:val="32"/>
          <w:szCs w:val="32"/>
        </w:rPr>
        <w:t>、各岗位的风险管理职责，确保每个环节都有人负责，形成有效的风险管理网络。同时，加强部门间的沟通协调，形成合力，共同应对风险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自主学习意识不够强</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营造学习氛围，激发学习动力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提升学习效果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党员干部</w:t>
      </w:r>
      <w:r>
        <w:rPr>
          <w:rFonts w:hint="eastAsia" w:ascii="仿宋_GB2312" w:hAnsi="仿宋_GB2312" w:eastAsia="仿宋_GB2312" w:cs="仿宋_GB2312"/>
          <w:sz w:val="32"/>
          <w:szCs w:val="32"/>
        </w:rPr>
        <w:t>利用网络平台进行自主学习，如</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在线课程、</w:t>
      </w:r>
      <w:r>
        <w:rPr>
          <w:rFonts w:hint="eastAsia" w:ascii="仿宋_GB2312" w:hAnsi="仿宋_GB2312" w:eastAsia="仿宋_GB2312" w:cs="仿宋_GB2312"/>
          <w:sz w:val="32"/>
          <w:szCs w:val="32"/>
          <w:lang w:val="en-US" w:eastAsia="zh-CN"/>
        </w:rPr>
        <w:t>学习强国</w:t>
      </w:r>
      <w:r>
        <w:rPr>
          <w:rFonts w:hint="eastAsia" w:ascii="仿宋_GB2312" w:hAnsi="仿宋_GB2312" w:eastAsia="仿宋_GB2312" w:cs="仿宋_GB2312"/>
          <w:sz w:val="32"/>
          <w:szCs w:val="32"/>
        </w:rPr>
        <w:t>等，提高学习的灵活性和便捷性。</w:t>
      </w:r>
    </w:p>
    <w:p>
      <w:pPr>
        <w:keepNext w:val="0"/>
        <w:keepLines w:val="0"/>
        <w:pageBreakBefore w:val="0"/>
        <w:widowControl w:val="0"/>
        <w:tabs>
          <w:tab w:val="left" w:pos="7560"/>
        </w:tabs>
        <w:kinsoku/>
        <w:wordWrap/>
        <w:overflowPunct/>
        <w:topLinePunct w:val="0"/>
        <w:autoSpaceDE/>
        <w:autoSpaceDN/>
        <w:bidi w:val="0"/>
        <w:adjustRightInd/>
        <w:snapToGrid/>
        <w:spacing w:line="53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（七）问责情况、述责述廉评议等均无。</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二、存在的问题</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对干部职工常态化警示教育开展的内容单一，不深入。</w:t>
      </w:r>
      <w:r>
        <w:rPr>
          <w:rFonts w:hint="eastAsia" w:ascii="仿宋_GB2312" w:hAnsi="仿宋_GB2312" w:eastAsia="仿宋_GB2312" w:cs="仿宋_GB2312"/>
          <w:sz w:val="32"/>
          <w:szCs w:val="32"/>
        </w:rPr>
        <w:t>缺乏针对性和实效性，无法满足不同岗位、不同层次干部职工的需求。在警示教育中，虽开展警示教育活动，未能充分结合近期</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领域违法案件进行充分研讨、深刻剖析，导致干部职工无法从具体案例中汲取教训、引以为戒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（二）基层民政工作人员对于法律法规、民政相关政策掌握不到位，日常管理不规范。</w:t>
      </w:r>
      <w:r>
        <w:rPr>
          <w:rFonts w:hint="eastAsia" w:ascii="仿宋_GB2312" w:hAnsi="仿宋_GB2312" w:eastAsia="仿宋_GB2312" w:cs="仿宋_GB2312"/>
          <w:sz w:val="32"/>
          <w:szCs w:val="32"/>
          <w:lang w:val="en-US" w:eastAsia="zh-CN"/>
        </w:rPr>
        <w:t>如</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年省审计组审计六安地区社会救助资金时发现我区城乡分散特困供养护理补贴打在特困供养账户上，在动态调整时不够及时，通过入户走访和大数据比对发现</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人死亡享受救助待遇，虽及时进行整改追回，但是凸显了基层民政工作人员在</w:t>
      </w:r>
      <w:r>
        <w:rPr>
          <w:rFonts w:hint="eastAsia" w:ascii="仿宋_GB2312" w:hAnsi="仿宋_GB2312" w:eastAsia="仿宋_GB2312" w:cs="仿宋_GB2312"/>
          <w:sz w:val="32"/>
          <w:szCs w:val="32"/>
        </w:rPr>
        <w:t>日常管理中存在流程不明确、操作不规范等问题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殡葬领域制度体系不健全。</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虽出台《关于进一步推进殡葬改革工作的实施方案》，但内容较宽泛，缺乏对殡葬各个环节的具体规定，特别是对违反殡改政策等没有明确具体处罚措施，致使基层开展工作难有抓手，公墓管理方面也未出台具体的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全区殡葬领域长效的管理服务机制未形成。</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三、下一步工作打算</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（一）抓实学习教育，深化理论武装</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深入贯彻落实党的</w:t>
      </w:r>
      <w:r>
        <w:rPr>
          <w:rFonts w:hint="eastAsia" w:ascii="仿宋_GB2312" w:hAnsi="仿宋_GB2312" w:eastAsia="仿宋_GB2312" w:cs="仿宋_GB2312"/>
          <w:sz w:val="32"/>
          <w:szCs w:val="32"/>
          <w:lang w:val="en-US" w:eastAsia="zh-CN"/>
        </w:rPr>
        <w:t>二十大和二十届系列</w:t>
      </w:r>
      <w:r>
        <w:rPr>
          <w:rFonts w:hint="eastAsia" w:ascii="仿宋_GB2312" w:hAnsi="仿宋_GB2312" w:eastAsia="仿宋_GB2312" w:cs="仿宋_GB2312"/>
          <w:sz w:val="32"/>
          <w:szCs w:val="32"/>
        </w:rPr>
        <w:t>全会精神，抓紧抓实经常性教育，推动学习贯彻习近平新时代中国特色社会主义思想走深走实。</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（二）加强监督执纪，强化民政担当。</w:t>
      </w:r>
      <w:r>
        <w:rPr>
          <w:rFonts w:hint="eastAsia" w:ascii="仿宋_GB2312" w:hAnsi="仿宋_GB2312" w:eastAsia="仿宋_GB2312" w:cs="仿宋_GB2312"/>
          <w:sz w:val="32"/>
          <w:szCs w:val="32"/>
          <w:lang w:val="en-US" w:eastAsia="zh-CN"/>
        </w:rPr>
        <w:t>以党建引领民政领域各项工作，坚决扛起管党治党主体责任，认真履行党风廉政建设“一岗双责”，</w:t>
      </w:r>
      <w:r>
        <w:rPr>
          <w:rFonts w:hint="eastAsia" w:ascii="仿宋_GB2312" w:hAnsi="仿宋_GB2312" w:eastAsia="仿宋_GB2312" w:cs="仿宋_GB2312"/>
          <w:sz w:val="32"/>
          <w:szCs w:val="32"/>
        </w:rPr>
        <w:t>严明政治纪律和政治规矩，严肃党内政治生活，涵养风清气正的政治生态。</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（三）健全长效机制，巩固整治成果。</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机制，以零容忍态度杜绝漠视和侵害群众利益行为，坚持把严的纪律要求、细的工作作风、暖的工作热情贯穿</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工作全过程。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36" w:lineRule="exact"/>
        <w:ind w:firstLine="3840" w:firstLineChars="1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36" w:lineRule="exact"/>
        <w:ind w:firstLine="3840" w:firstLineChars="1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中共六安市</w:t>
      </w:r>
      <w:r>
        <w:rPr>
          <w:rFonts w:hint="eastAsia" w:ascii="仿宋_GB2312" w:hAnsi="仿宋_GB2312" w:eastAsia="仿宋_GB2312" w:cs="仿宋_GB2312"/>
          <w:sz w:val="32"/>
          <w:szCs w:val="32"/>
          <w:lang w:val="en-US" w:eastAsia="zh-CN"/>
        </w:rPr>
        <w:t>叶集区民政局党组</w:t>
      </w:r>
    </w:p>
    <w:p>
      <w:pPr>
        <w:keepNext w:val="0"/>
        <w:keepLines w:val="0"/>
        <w:pageBreakBefore w:val="0"/>
        <w:widowControl w:val="0"/>
        <w:kinsoku/>
        <w:wordWrap/>
        <w:overflowPunct/>
        <w:topLinePunct w:val="0"/>
        <w:autoSpaceDE/>
        <w:autoSpaceDN/>
        <w:bidi w:val="0"/>
        <w:adjustRightInd w:val="0"/>
        <w:snapToGrid w:val="0"/>
        <w:spacing w:line="536" w:lineRule="exact"/>
        <w:ind w:left="481" w:leftChars="229" w:right="1260" w:rightChars="60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26</w:t>
      </w:r>
      <w:r>
        <w:rPr>
          <w:rFonts w:hint="eastAsia" w:ascii="仿宋_GB2312" w:hAnsi="仿宋_GB2312" w:eastAsia="仿宋_GB2312" w:cs="仿宋_GB2312"/>
          <w:sz w:val="32"/>
          <w:szCs w:val="32"/>
        </w:rPr>
        <w:t>日</w:t>
      </w:r>
    </w:p>
    <w:p>
      <w:pPr>
        <w:pStyle w:val="8"/>
        <w:widowControl w:val="0"/>
        <w:spacing w:line="576" w:lineRule="exact"/>
        <w:jc w:val="center"/>
        <w:rPr>
          <w:rFonts w:hint="eastAsia"/>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6"/>
        <w:tblpPr w:leftFromText="181" w:rightFromText="181" w:horzAnchor="margin" w:tblpXSpec="center" w:tblpYSpec="bottom"/>
        <w:tblOverlap w:val="never"/>
        <w:tblW w:w="8845" w:type="dxa"/>
        <w:tblInd w:w="0" w:type="dxa"/>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CellMar>
          <w:top w:w="0" w:type="dxa"/>
          <w:left w:w="0" w:type="dxa"/>
          <w:bottom w:w="0" w:type="dxa"/>
          <w:right w:w="0" w:type="dxa"/>
        </w:tblCellMar>
      </w:tblPr>
      <w:tblGrid>
        <w:gridCol w:w="8845"/>
      </w:tblGrid>
      <w:tr>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0" w:type="dxa"/>
            <w:bottom w:w="0" w:type="dxa"/>
            <w:right w:w="0" w:type="dxa"/>
          </w:tblCellMar>
        </w:tblPrEx>
        <w:trPr>
          <w:trHeight w:val="680" w:hRule="atLeast"/>
        </w:trPr>
        <w:tc>
          <w:tcPr>
            <w:tcW w:w="8845" w:type="dxa"/>
            <w:noWrap w:val="0"/>
            <w:vAlign w:val="center"/>
          </w:tcPr>
          <w:p>
            <w:pPr>
              <w:spacing w:line="360" w:lineRule="exact"/>
              <w:ind w:left="315" w:leftChars="150" w:right="315" w:right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抄送：</w:t>
            </w:r>
            <w:r>
              <w:rPr>
                <w:rFonts w:hint="eastAsia" w:ascii="仿宋_GB2312" w:hAnsi="仿宋_GB2312" w:eastAsia="仿宋_GB2312" w:cs="仿宋_GB2312"/>
                <w:color w:val="000000"/>
                <w:sz w:val="28"/>
                <w:szCs w:val="28"/>
                <w:lang w:val="en-US" w:eastAsia="zh-CN"/>
              </w:rPr>
              <w:t>区</w:t>
            </w:r>
            <w:r>
              <w:rPr>
                <w:rFonts w:hint="eastAsia" w:ascii="仿宋_GB2312" w:hAnsi="仿宋_GB2312" w:eastAsia="仿宋_GB2312" w:cs="仿宋_GB2312"/>
                <w:color w:val="000000"/>
                <w:sz w:val="28"/>
                <w:szCs w:val="28"/>
              </w:rPr>
              <w:t>纪委。</w:t>
            </w:r>
          </w:p>
        </w:tc>
      </w:tr>
      <w:tr>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0" w:type="dxa"/>
            <w:bottom w:w="0" w:type="dxa"/>
            <w:right w:w="0" w:type="dxa"/>
          </w:tblCellMar>
        </w:tblPrEx>
        <w:trPr>
          <w:trHeight w:val="680" w:hRule="atLeast"/>
        </w:trPr>
        <w:tc>
          <w:tcPr>
            <w:tcW w:w="8845" w:type="dxa"/>
            <w:noWrap w:val="0"/>
            <w:vAlign w:val="center"/>
          </w:tcPr>
          <w:p>
            <w:pPr>
              <w:spacing w:line="360" w:lineRule="exact"/>
              <w:ind w:left="315" w:leftChars="150" w:right="315" w:right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中共六安市叶集区</w:t>
            </w:r>
            <w:r>
              <w:rPr>
                <w:rFonts w:hint="eastAsia" w:ascii="仿宋_GB2312" w:hAnsi="仿宋_GB2312" w:eastAsia="仿宋_GB2312" w:cs="仿宋_GB2312"/>
                <w:color w:val="000000"/>
                <w:sz w:val="28"/>
                <w:szCs w:val="28"/>
                <w:lang w:val="en-US" w:eastAsia="zh-CN"/>
              </w:rPr>
              <w:t>民政局党组</w:t>
            </w:r>
            <w:r>
              <w:rPr>
                <w:rFonts w:hint="eastAsia" w:ascii="仿宋_GB2312" w:hAnsi="仿宋_GB2312" w:eastAsia="仿宋_GB2312" w:cs="仿宋_GB2312"/>
                <w:color w:val="000000"/>
                <w:sz w:val="28"/>
                <w:szCs w:val="28"/>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4</w:t>
            </w:r>
            <w:r>
              <w:rPr>
                <w:rFonts w:hint="eastAsia" w:ascii="仿宋_GB2312" w:hAnsi="仿宋_GB2312" w:eastAsia="仿宋_GB2312" w:cs="仿宋_GB2312"/>
                <w:color w:val="000000"/>
                <w:sz w:val="28"/>
                <w:szCs w:val="28"/>
              </w:rPr>
              <w:t>年</w:t>
            </w:r>
            <w:r>
              <w:rPr>
                <w:rFonts w:hint="default" w:ascii="Times New Roman" w:hAnsi="Times New Roman" w:eastAsia="仿宋_GB2312" w:cs="Times New Roman"/>
                <w:color w:val="000000"/>
                <w:sz w:val="28"/>
                <w:szCs w:val="28"/>
                <w:lang w:val="en-US" w:eastAsia="zh-CN"/>
              </w:rPr>
              <w:t>12</w:t>
            </w:r>
            <w:r>
              <w:rPr>
                <w:rFonts w:hint="eastAsia" w:ascii="仿宋_GB2312" w:hAnsi="仿宋_GB2312" w:eastAsia="仿宋_GB2312" w:cs="仿宋_GB2312"/>
                <w:color w:val="000000"/>
                <w:sz w:val="28"/>
                <w:szCs w:val="28"/>
              </w:rPr>
              <w:t>月</w:t>
            </w:r>
            <w:r>
              <w:rPr>
                <w:rFonts w:hint="default" w:ascii="Times New Roman" w:hAnsi="Times New Roman" w:eastAsia="仿宋_GB2312" w:cs="Times New Roman"/>
                <w:color w:val="000000"/>
                <w:sz w:val="28"/>
                <w:szCs w:val="28"/>
                <w:lang w:val="en-US" w:eastAsia="zh-CN"/>
              </w:rPr>
              <w:t>26</w:t>
            </w:r>
            <w:r>
              <w:rPr>
                <w:rFonts w:hint="eastAsia" w:ascii="仿宋_GB2312" w:hAnsi="仿宋_GB2312" w:eastAsia="仿宋_GB2312" w:cs="仿宋_GB2312"/>
                <w:color w:val="000000"/>
                <w:sz w:val="28"/>
                <w:szCs w:val="28"/>
              </w:rPr>
              <w:t>日印发</w:t>
            </w:r>
          </w:p>
        </w:tc>
      </w:tr>
      <w:bookmarkEnd w:id="1"/>
    </w:tbl>
    <w:p/>
    <w:sectPr>
      <w:headerReference r:id="rId3" w:type="default"/>
      <w:footerReference r:id="rId5" w:type="default"/>
      <w:headerReference r:id="rId4" w:type="even"/>
      <w:footerReference r:id="rId6" w:type="even"/>
      <w:pgSz w:w="11906" w:h="16838"/>
      <w:pgMar w:top="2098" w:right="1531" w:bottom="1984" w:left="1587" w:header="851" w:footer="136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5" w:rightChars="150"/>
      <w:jc w:val="both"/>
      <w:rPr>
        <w:rFonts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5" w:rightChars="150"/>
      <w:jc w:val="lef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ZTVhODYxNjY4OGJiZmQ5ZmU4Mjc0ZjNkOGFkODEifQ=="/>
    <w:docVar w:name="KSO_WPS_MARK_KEY" w:val="ebcd9030-34f2-4eb5-a1ea-ad3fac3c2fca"/>
  </w:docVars>
  <w:rsids>
    <w:rsidRoot w:val="1AFA7BEE"/>
    <w:rsid w:val="038F1338"/>
    <w:rsid w:val="05F26774"/>
    <w:rsid w:val="0612276A"/>
    <w:rsid w:val="0A7869D8"/>
    <w:rsid w:val="0E8F5185"/>
    <w:rsid w:val="149227D6"/>
    <w:rsid w:val="15546E10"/>
    <w:rsid w:val="1AFA7BEE"/>
    <w:rsid w:val="1BFF4CAA"/>
    <w:rsid w:val="1DC278CB"/>
    <w:rsid w:val="21070BB8"/>
    <w:rsid w:val="2D516979"/>
    <w:rsid w:val="2E105017"/>
    <w:rsid w:val="2EEA2164"/>
    <w:rsid w:val="34554700"/>
    <w:rsid w:val="3CD30F71"/>
    <w:rsid w:val="3FEA20AB"/>
    <w:rsid w:val="45662BEE"/>
    <w:rsid w:val="47E25EBD"/>
    <w:rsid w:val="502B33A2"/>
    <w:rsid w:val="508A2394"/>
    <w:rsid w:val="5145738E"/>
    <w:rsid w:val="54082E95"/>
    <w:rsid w:val="62DE0935"/>
    <w:rsid w:val="647B52DD"/>
    <w:rsid w:val="68EE462F"/>
    <w:rsid w:val="68F02F0E"/>
    <w:rsid w:val="6E504B92"/>
    <w:rsid w:val="6FFB23EB"/>
    <w:rsid w:val="726527BD"/>
    <w:rsid w:val="74602F73"/>
    <w:rsid w:val="74F67AE3"/>
    <w:rsid w:val="7A9E5B80"/>
    <w:rsid w:val="7ABE0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4"/>
    <w:basedOn w:val="1"/>
    <w:next w:val="1"/>
    <w:link w:val="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kern w:val="2"/>
      <w:sz w:val="21"/>
      <w:szCs w:val="21"/>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qFormat/>
    <w:uiPriority w:val="0"/>
    <w:pPr>
      <w:widowControl/>
    </w:pPr>
    <w:rPr>
      <w:kern w:val="0"/>
      <w:szCs w:val="21"/>
    </w:rPr>
  </w:style>
  <w:style w:type="character" w:customStyle="1" w:styleId="9">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3179</Words>
  <Characters>3286</Characters>
  <Lines>0</Lines>
  <Paragraphs>0</Paragraphs>
  <TotalTime>45</TotalTime>
  <ScaleCrop>false</ScaleCrop>
  <LinksUpToDate>false</LinksUpToDate>
  <CharactersWithSpaces>3349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2017-07-03T03:47:00Z</dcterms:created>
  <dc:creator>gyb1</dc:creator>
  <cp:lastModifiedBy>Administrator</cp:lastModifiedBy>
  <cp:lastPrinted>2024-12-26T07:20:00Z</cp:lastPrinted>
  <dcterms:modified xsi:type="dcterms:W3CDTF">2025-03-11T02:03:40Z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084DB094B2364A159CDB89B4045B3A2F_13</vt:lpwstr>
  </property>
</Properties>
</file>