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六安市叶集区人民政府202</w:t>
      </w: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i w:val="0"/>
          <w:caps w:val="0"/>
          <w:color w:val="333333"/>
          <w:spacing w:val="0"/>
          <w:sz w:val="44"/>
          <w:szCs w:val="44"/>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根据《中华人民共和国政府信息公开条例》(国令第711号，以下简称《条例》)，现公布六安市叶集区人民政府2024年政府信息公开工作年度报告。本报告中使用数据统计期限为2024年1月</w:t>
      </w:r>
      <w:bookmarkStart w:id="0" w:name="_GoBack"/>
      <w:bookmarkEnd w:id="0"/>
      <w:r>
        <w:rPr>
          <w:rFonts w:hint="eastAsia" w:ascii="仿宋_GB2312" w:hAnsi="仿宋_GB2312" w:eastAsia="仿宋_GB2312" w:cs="仿宋_GB2312"/>
          <w:sz w:val="32"/>
          <w:szCs w:val="32"/>
          <w:lang w:val="en-US" w:eastAsia="zh-CN"/>
        </w:rPr>
        <w:t>1日至12月31日，报告的电子版可在六安市叶集区人民政府信息公开网（https://www.ahyeji.gov.cn/public/index.html）下载。如对本报告任何疑问，请与六安市叶集区人民政府办公室联系（地址：六安市叶集区行政中心2楼231室，电话：0564-2770030，邮编：237431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经济发展和民生领域，及时公开扩大有效投资、高质量发展等政策文件与工作落实信息，全面公开教育、医疗、就业等民生信息，加强民生呼应。做实政策解读，使用通俗易懂的表述对政策制定背景、起草过程、主要内容等要素进行详细解释，实现规范性文件全面解读，其他文件应解读尽解读。扩大公众参与，全面发布事关经济社会发展和群众切身利益的重大行政决策草案的意见征集公告，邀请企业群众参加座谈会、列席政府常务会议，畅通线下交流路径，全年发布23个线上征集公告，邀请企业群众参加政府会议5场。推动政民互动，依托政务公开专区，结合群众关心关切的医保、教育、就业、文化等主题，开展“政府开放日活动”，全年区本级专区开展活动4场，乡镇街专区开展活动12场。维护公共企事业单位专题，根据实际优化专题内容。维护基层两化专题，全年更新信息3670条，推动基层政务公开向村居延伸，利用线下公示栏展示村级事项，设置资料柜放置纸质材料，方便群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完善全区《政府信息公开指南》，定期排查网址、办公地址、联系电话等关键信息，畅通依申请公开受理渠道。依托依申请公开系统平台规范管理线上线下件，按时办理来件，及时录入信息。全年共收到依申请公开38件，上年度结转2件，全部依法依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管理审核发布人员后台账号，定期全站检索，清理失效信息，加强信息“三审”，避免错敏词、隐私泄露、断链错链等问题。定期开展历史信息梳理，全年清理无效信息1000余条。根据最新清理结果，依托专题专栏规范展示全区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（四）政府信息公开平台建设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建成政策文件库与建议提案办理专题。设置政府开放日栏目，集中公开全区开放日活动实施与经验总结信息。依托公共企事业单位专题设置宣传报道和公开制度板块，进一步完善专题功能，对于涉及机构改革的相关部门，及时调整机构栏目设置，做好相关栏目的关停与合并，转移并更新行政权力运行、财政资金等信息，确保栏目正常展示。全年印发政府公报4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2024年政务公开重点工作清单与2024年政务公开专项提升行动实施方案，细化责任分工，强化工作落实。通过专题式集中培训、现场一对一培训，提升人员业务水平，全年开展集中培训会三场，一对一培训82次。将政务公开纳入政府目标绩效考核体系，不断提升政务公开工作水平。落实政府信息公开社会评议和责任追究制度，本年度未发生责任追究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_GB2312" w:hAnsi="Calibri" w:eastAsia="楷体_GB2312" w:cs="楷体_GB2312"/>
          <w:i w:val="0"/>
          <w:caps w:val="0"/>
          <w:color w:val="333333"/>
          <w:spacing w:val="0"/>
          <w:sz w:val="32"/>
          <w:szCs w:val="32"/>
          <w:shd w:val="clear" w:fill="FFFFFF"/>
          <w:lang w:val="en-US" w:eastAsia="zh-CN"/>
        </w:rPr>
      </w:pPr>
      <w:r>
        <w:rPr>
          <w:rFonts w:hint="eastAsia" w:ascii="黑体" w:hAnsi="宋体" w:eastAsia="黑体" w:cs="黑体"/>
          <w:i w:val="0"/>
          <w:caps w:val="0"/>
          <w:color w:val="333333"/>
          <w:spacing w:val="0"/>
          <w:sz w:val="32"/>
          <w:szCs w:val="32"/>
          <w:shd w:val="clear" w:fill="FFFFFF"/>
        </w:rPr>
        <w:t>二、主动公开政府信息情况</w:t>
      </w:r>
    </w:p>
    <w:tbl>
      <w:tblPr>
        <w:tblStyle w:val="5"/>
        <w:tblW w:w="9740" w:type="dxa"/>
        <w:jc w:val="center"/>
        <w:tblInd w:w="-660" w:type="dxa"/>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2435"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本年制发件数</w:t>
            </w:r>
          </w:p>
        </w:tc>
        <w:tc>
          <w:tcPr>
            <w:tcW w:w="2435"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本年废止件数</w:t>
            </w:r>
          </w:p>
        </w:tc>
        <w:tc>
          <w:tcPr>
            <w:tcW w:w="2435"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现行有效件数</w:t>
            </w:r>
          </w:p>
        </w:tc>
      </w:tr>
      <w:tr>
        <w:tblPrEx>
          <w:tblLayout w:type="fixed"/>
          <w:tblCellMar>
            <w:top w:w="0" w:type="dxa"/>
            <w:left w:w="0" w:type="dxa"/>
            <w:bottom w:w="0" w:type="dxa"/>
            <w:right w:w="0" w:type="dxa"/>
          </w:tblCellMar>
        </w:tblPrEx>
        <w:trPr>
          <w:trHeight w:val="459"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规章</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r>
        <w:tblPrEx>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行政规范性文件</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5</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39</w:t>
            </w:r>
          </w:p>
        </w:tc>
        <w:tc>
          <w:tcPr>
            <w:tcW w:w="2435"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56</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第二十条第（五）项</w:t>
            </w:r>
          </w:p>
        </w:tc>
      </w:tr>
      <w:tr>
        <w:tblPrEx>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行政许可</w:t>
            </w:r>
          </w:p>
        </w:tc>
        <w:tc>
          <w:tcPr>
            <w:tcW w:w="7305" w:type="dxa"/>
            <w:gridSpan w:val="3"/>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25832</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305" w:type="dxa"/>
            <w:gridSpan w:val="3"/>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tblPrEx>
          <w:tblLayout w:type="fixed"/>
          <w:tblCellMar>
            <w:top w:w="0" w:type="dxa"/>
            <w:left w:w="0" w:type="dxa"/>
            <w:bottom w:w="0" w:type="dxa"/>
            <w:right w:w="0" w:type="dxa"/>
          </w:tblCellMar>
        </w:tblPrEx>
        <w:trPr>
          <w:trHeight w:val="414"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行政处罚</w:t>
            </w:r>
          </w:p>
        </w:tc>
        <w:tc>
          <w:tcPr>
            <w:tcW w:w="7305" w:type="dxa"/>
            <w:gridSpan w:val="3"/>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2192</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行政强制</w:t>
            </w:r>
          </w:p>
        </w:tc>
        <w:tc>
          <w:tcPr>
            <w:tcW w:w="7305" w:type="dxa"/>
            <w:gridSpan w:val="3"/>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741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4" w:space="0"/>
              <w:bottom w:val="single" w:color="auto" w:sz="4" w:space="0"/>
              <w:right w:val="single" w:color="auto" w:sz="4" w:space="0"/>
            </w:tcBorders>
            <w:shd w:val="clear" w:color="auto" w:fill="C6D9F1"/>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4" w:space="0"/>
              <w:right w:val="single" w:color="000000"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本年收费金额（单位：万元）</w:t>
            </w:r>
          </w:p>
        </w:tc>
      </w:tr>
      <w:tr>
        <w:tblPrEx>
          <w:shd w:val="clear" w:color="auto" w:fill="auto"/>
          <w:tblLayout w:type="fixed"/>
          <w:tblCellMar>
            <w:top w:w="0" w:type="dxa"/>
            <w:left w:w="0" w:type="dxa"/>
            <w:bottom w:w="0" w:type="dxa"/>
            <w:right w:w="0" w:type="dxa"/>
          </w:tblCellMar>
        </w:tblPrEx>
        <w:trPr>
          <w:trHeight w:val="340" w:hRule="atLeast"/>
          <w:jc w:val="center"/>
        </w:trPr>
        <w:tc>
          <w:tcPr>
            <w:tcW w:w="243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行政事业性收费</w:t>
            </w:r>
          </w:p>
        </w:tc>
        <w:tc>
          <w:tcPr>
            <w:tcW w:w="7305" w:type="dxa"/>
            <w:gridSpan w:val="3"/>
            <w:tcBorders>
              <w:top w:val="nil"/>
              <w:left w:val="nil"/>
              <w:bottom w:val="single" w:color="auto" w:sz="4" w:space="0"/>
              <w:right w:val="single" w:color="000000"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1253.63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sz w:val="32"/>
          <w:szCs w:val="32"/>
          <w:shd w:val="clear" w:fill="FFFFFF"/>
        </w:rPr>
        <w:t>三、收到和处理政府信息公开申请情况</w:t>
      </w:r>
    </w:p>
    <w:tbl>
      <w:tblPr>
        <w:tblStyle w:val="5"/>
        <w:tblW w:w="9745" w:type="dxa"/>
        <w:jc w:val="center"/>
        <w:tblInd w:w="-61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29" w:type="dxa"/>
            <w:gridSpan w:val="3"/>
            <w:vMerge w:val="restart"/>
            <w:tcBorders>
              <w:top w:val="single" w:color="auto" w:sz="4" w:space="0"/>
              <w:left w:val="single" w:color="auto" w:sz="4" w:space="0"/>
              <w:bottom w:val="outset"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ascii="楷体" w:hAnsi="楷体" w:eastAsia="楷体" w:cs="楷体"/>
                <w:color w:val="000000"/>
                <w:sz w:val="20"/>
                <w:szCs w:val="20"/>
              </w:rPr>
              <w:t>（本列数据的勾稽关系为：第一项加第二项之和，等于第三项加第四项之和）</w:t>
            </w:r>
          </w:p>
        </w:tc>
        <w:tc>
          <w:tcPr>
            <w:tcW w:w="4816" w:type="dxa"/>
            <w:gridSpan w:val="7"/>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29" w:type="dxa"/>
            <w:gridSpan w:val="3"/>
            <w:vMerge w:val="continue"/>
            <w:tcBorders>
              <w:top w:val="single" w:color="auto" w:sz="4" w:space="0"/>
              <w:left w:val="single" w:color="auto" w:sz="4" w:space="0"/>
              <w:bottom w:val="outset" w:color="auto" w:sz="4" w:space="0"/>
              <w:right w:val="single" w:color="auto" w:sz="4" w:space="0"/>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0"/>
                <w:szCs w:val="20"/>
              </w:rPr>
            </w:pPr>
          </w:p>
        </w:tc>
        <w:tc>
          <w:tcPr>
            <w:tcW w:w="688" w:type="dxa"/>
            <w:vMerge w:val="restart"/>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自然人</w:t>
            </w:r>
          </w:p>
        </w:tc>
        <w:tc>
          <w:tcPr>
            <w:tcW w:w="3440" w:type="dxa"/>
            <w:gridSpan w:val="5"/>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法人或其他组织</w:t>
            </w:r>
          </w:p>
        </w:tc>
        <w:tc>
          <w:tcPr>
            <w:tcW w:w="688" w:type="dxa"/>
            <w:vMerge w:val="restart"/>
            <w:tcBorders>
              <w:top w:val="single" w:color="auto" w:sz="4" w:space="0"/>
              <w:left w:val="nil"/>
              <w:bottom w:val="outset"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29" w:type="dxa"/>
            <w:gridSpan w:val="3"/>
            <w:vMerge w:val="continue"/>
            <w:tcBorders>
              <w:top w:val="single" w:color="auto" w:sz="4" w:space="0"/>
              <w:left w:val="single" w:color="auto" w:sz="4" w:space="0"/>
              <w:bottom w:val="outset" w:color="auto" w:sz="4" w:space="0"/>
              <w:right w:val="single" w:color="auto" w:sz="4" w:space="0"/>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0"/>
                <w:szCs w:val="20"/>
              </w:rPr>
            </w:pPr>
          </w:p>
        </w:tc>
        <w:tc>
          <w:tcPr>
            <w:tcW w:w="688" w:type="dxa"/>
            <w:vMerge w:val="continue"/>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688"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企业</w:t>
            </w:r>
          </w:p>
        </w:tc>
        <w:tc>
          <w:tcPr>
            <w:tcW w:w="688"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机构</w:t>
            </w:r>
          </w:p>
        </w:tc>
        <w:tc>
          <w:tcPr>
            <w:tcW w:w="688"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社会公益组织</w:t>
            </w:r>
          </w:p>
        </w:tc>
        <w:tc>
          <w:tcPr>
            <w:tcW w:w="688"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法律服务机构</w:t>
            </w:r>
          </w:p>
        </w:tc>
        <w:tc>
          <w:tcPr>
            <w:tcW w:w="688"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其他</w:t>
            </w:r>
          </w:p>
        </w:tc>
        <w:tc>
          <w:tcPr>
            <w:tcW w:w="688" w:type="dxa"/>
            <w:vMerge w:val="continue"/>
            <w:tcBorders>
              <w:top w:val="single" w:color="auto" w:sz="4" w:space="0"/>
              <w:left w:val="nil"/>
              <w:bottom w:val="outset" w:color="auto" w:sz="4" w:space="0"/>
              <w:right w:val="single" w:color="auto" w:sz="4" w:space="0"/>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一、本年新收政府信息公开申请数量</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38</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二、上年结转政府信息公开申请数量</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2</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restart"/>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三、本年度办理结果</w:t>
            </w:r>
          </w:p>
        </w:tc>
        <w:tc>
          <w:tcPr>
            <w:tcW w:w="4162" w:type="dxa"/>
            <w:gridSpan w:val="2"/>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（一）予以公开</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25</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4162" w:type="dxa"/>
            <w:gridSpan w:val="2"/>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（二）部分公开</w:t>
            </w:r>
            <w:r>
              <w:rPr>
                <w:rFonts w:hint="eastAsia" w:ascii="楷体" w:hAnsi="楷体" w:eastAsia="楷体" w:cs="楷体"/>
                <w:color w:val="000000"/>
                <w:sz w:val="20"/>
                <w:szCs w:val="20"/>
              </w:rPr>
              <w:t>（区分处理的，只计这一情形，不计其他情形）</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1</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restart"/>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（三）不予公开</w:t>
            </w: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1.属于国家秘密</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2.其他法律行政法规禁止公开</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3.危及“三安全一稳定”</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4.保护第三方合法权益</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5.属于三类内部事务信息</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6.属于四类过程性信息</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7.属于行政执法案卷</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9" w:hRule="atLeast"/>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8.属于行政查询事项</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restart"/>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（四）无法提供</w:t>
            </w: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1.本机关不掌握相关政府信息</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12</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2.没有现成信息需要另行制作</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3.补正后申请内容仍不明确</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restart"/>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（五）不予处理</w:t>
            </w: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1.信访举报投诉类申请</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2.重复申请</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3.要求提供公开出版物</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4.无正当理由大量反复申请</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rPr>
                <w:rFonts w:hint="default" w:ascii="Calibri" w:hAnsi="Calibri" w:cs="Calibri"/>
                <w:sz w:val="21"/>
                <w:szCs w:val="21"/>
              </w:rPr>
            </w:pPr>
            <w:r>
              <w:rPr>
                <w:rFonts w:hint="eastAsia" w:ascii="宋体" w:hAnsi="宋体" w:eastAsia="宋体" w:cs="宋体"/>
                <w:color w:val="000000"/>
                <w:sz w:val="20"/>
                <w:szCs w:val="20"/>
              </w:rPr>
              <w:t>5.要求行政机关确认或重新出具已获取信息</w:t>
            </w:r>
          </w:p>
        </w:tc>
        <w:tc>
          <w:tcPr>
            <w:tcW w:w="688" w:type="dxa"/>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restart"/>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（六）其他处理</w:t>
            </w: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rPr>
                <w:rFonts w:hint="default" w:ascii="Calibri" w:hAnsi="Calibri" w:cs="Calibri"/>
                <w:sz w:val="21"/>
                <w:szCs w:val="21"/>
              </w:rPr>
            </w:pPr>
            <w:r>
              <w:rPr>
                <w:rFonts w:hint="eastAsia" w:ascii="宋体" w:hAnsi="宋体" w:eastAsia="宋体" w:cs="宋体"/>
                <w:color w:val="000000"/>
                <w:sz w:val="20"/>
                <w:szCs w:val="20"/>
              </w:rPr>
              <w:t>1.申请人无正当理由逾期不补正、行政机关不再处理其政府信息公开申请</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2</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both"/>
              <w:rPr>
                <w:rFonts w:hint="default" w:ascii="Calibri" w:hAnsi="Calibri" w:cs="Calibri"/>
                <w:sz w:val="21"/>
                <w:szCs w:val="21"/>
              </w:rPr>
            </w:pPr>
            <w:r>
              <w:rPr>
                <w:rFonts w:hint="eastAsia" w:ascii="宋体" w:hAnsi="宋体" w:eastAsia="宋体" w:cs="宋体"/>
                <w:color w:val="000000"/>
                <w:sz w:val="20"/>
                <w:szCs w:val="20"/>
              </w:rPr>
              <w:t>2.申请人逾期未按收费通知要求缴纳费用、行政机关不再处理其政府信息公开申请</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943" w:type="dxa"/>
            <w:vMerge w:val="continue"/>
            <w:tcBorders>
              <w:top w:val="nil"/>
              <w:left w:val="nil"/>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3219"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3.其他</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96" w:hRule="atLeast"/>
          <w:jc w:val="center"/>
        </w:trPr>
        <w:tc>
          <w:tcPr>
            <w:tcW w:w="767" w:type="dxa"/>
            <w:vMerge w:val="continue"/>
            <w:tcBorders>
              <w:top w:val="nil"/>
              <w:left w:val="single" w:color="auto" w:sz="4" w:space="0"/>
              <w:bottom w:val="outset" w:color="auto" w:sz="4" w:space="0"/>
              <w:right w:val="single" w:color="auto" w:sz="4" w:space="0"/>
            </w:tcBorders>
            <w:shd w:val="clear" w:color="auto" w:fill="auto"/>
            <w:tcMar>
              <w:top w:w="0" w:type="dxa"/>
              <w:left w:w="57" w:type="dxa"/>
              <w:bottom w:w="0" w:type="dxa"/>
              <w:right w:w="57" w:type="dxa"/>
            </w:tcMar>
            <w:vAlign w:val="center"/>
          </w:tcPr>
          <w:p>
            <w:pPr>
              <w:jc w:val="center"/>
              <w:rPr>
                <w:rFonts w:hint="default" w:ascii="Times New Roman" w:hAnsi="Times New Roman" w:cs="Times New Roman"/>
                <w:sz w:val="20"/>
                <w:szCs w:val="20"/>
              </w:rPr>
            </w:pPr>
          </w:p>
        </w:tc>
        <w:tc>
          <w:tcPr>
            <w:tcW w:w="4162" w:type="dxa"/>
            <w:gridSpan w:val="2"/>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（七）总计</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40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color w:val="000000"/>
                <w:sz w:val="20"/>
                <w:szCs w:val="20"/>
                <w:lang w:val="en-US" w:eastAsia="zh-CN"/>
              </w:rPr>
              <w:t>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29" w:type="dxa"/>
            <w:gridSpan w:val="3"/>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四、结转下年度继续办理</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c>
          <w:tcPr>
            <w:tcW w:w="688"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sz w:val="32"/>
          <w:szCs w:val="32"/>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shd w:val="clear" w:fill="FFFFFF"/>
        </w:rPr>
        <w:t> </w:t>
      </w:r>
    </w:p>
    <w:tbl>
      <w:tblPr>
        <w:tblStyle w:val="5"/>
        <w:tblW w:w="9743" w:type="dxa"/>
        <w:jc w:val="center"/>
        <w:tblInd w:w="-6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行政复议</w:t>
            </w:r>
          </w:p>
        </w:tc>
        <w:tc>
          <w:tcPr>
            <w:tcW w:w="6498" w:type="dxa"/>
            <w:gridSpan w:val="10"/>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结果维持</w:t>
            </w:r>
          </w:p>
        </w:tc>
        <w:tc>
          <w:tcPr>
            <w:tcW w:w="649" w:type="dxa"/>
            <w:vMerge w:val="restart"/>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49" w:type="dxa"/>
            <w:vMerge w:val="restart"/>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49" w:type="dxa"/>
            <w:vMerge w:val="restart"/>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49" w:type="dxa"/>
            <w:vMerge w:val="restart"/>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3248" w:type="dxa"/>
            <w:gridSpan w:val="5"/>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未经复议直接起诉</w:t>
            </w:r>
          </w:p>
        </w:tc>
        <w:tc>
          <w:tcPr>
            <w:tcW w:w="3250" w:type="dxa"/>
            <w:gridSpan w:val="5"/>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0"/>
                <w:szCs w:val="20"/>
              </w:rPr>
            </w:pPr>
          </w:p>
        </w:tc>
        <w:tc>
          <w:tcPr>
            <w:tcW w:w="649" w:type="dxa"/>
            <w:vMerge w:val="continue"/>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0"/>
                <w:szCs w:val="20"/>
              </w:rPr>
            </w:pPr>
          </w:p>
        </w:tc>
        <w:tc>
          <w:tcPr>
            <w:tcW w:w="649"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0"/>
                <w:szCs w:val="20"/>
              </w:rPr>
            </w:pPr>
          </w:p>
        </w:tc>
        <w:tc>
          <w:tcPr>
            <w:tcW w:w="649"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0"/>
                <w:szCs w:val="20"/>
              </w:rPr>
            </w:pPr>
          </w:p>
        </w:tc>
        <w:tc>
          <w:tcPr>
            <w:tcW w:w="649"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jc w:val="center"/>
              <w:rPr>
                <w:rFonts w:hint="default" w:ascii="Times New Roman" w:hAnsi="Times New Roman" w:cs="Times New Roman"/>
                <w:sz w:val="20"/>
                <w:szCs w:val="20"/>
              </w:rPr>
            </w:pPr>
          </w:p>
        </w:tc>
        <w:tc>
          <w:tcPr>
            <w:tcW w:w="64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4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6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12" w:hRule="atLeast"/>
          <w:jc w:val="center"/>
        </w:trPr>
        <w:tc>
          <w:tcPr>
            <w:tcW w:w="649"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2</w:t>
            </w:r>
          </w:p>
        </w:tc>
        <w:tc>
          <w:tcPr>
            <w:tcW w:w="64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4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1</w:t>
            </w:r>
          </w:p>
        </w:tc>
        <w:tc>
          <w:tcPr>
            <w:tcW w:w="64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4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3</w:t>
            </w:r>
          </w:p>
        </w:tc>
        <w:tc>
          <w:tcPr>
            <w:tcW w:w="64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1</w:t>
            </w:r>
          </w:p>
        </w:tc>
        <w:tc>
          <w:tcPr>
            <w:tcW w:w="649"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1</w:t>
            </w:r>
          </w:p>
        </w:tc>
        <w:tc>
          <w:tcPr>
            <w:tcW w:w="65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2</w:t>
            </w:r>
          </w:p>
        </w:tc>
        <w:tc>
          <w:tcPr>
            <w:tcW w:w="65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5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Calibri" w:hAnsi="Calibri" w:cs="Calibri" w:eastAsiaTheme="minorEastAsia"/>
                <w:sz w:val="21"/>
                <w:szCs w:val="21"/>
                <w:lang w:eastAsia="zh-CN"/>
              </w:rPr>
            </w:pPr>
            <w:r>
              <w:rPr>
                <w:rFonts w:hint="eastAsia" w:ascii="宋体" w:hAnsi="宋体" w:eastAsia="宋体" w:cs="宋体"/>
                <w:color w:val="000000"/>
                <w:sz w:val="20"/>
                <w:szCs w:val="20"/>
                <w:lang w:val="en-US" w:eastAsia="zh-CN"/>
              </w:rPr>
              <w:t>4</w:t>
            </w:r>
          </w:p>
        </w:tc>
        <w:tc>
          <w:tcPr>
            <w:tcW w:w="65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5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5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5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65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（一）上年度存在问题整改情况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针对上年度“部分基层两化栏目主管单位信息更新主动性不强”的问题，要求各主管单位确定一位基层两化栏目维护人员，负责日常信息更新，同时定期排查各单位更新情况，增强人员主动性，不断提升基层两化栏目信息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上年度“部分单位依申请公开经办人员业务不熟练”的问题，2024年度对各单位进行依申请公开办理业务培训，现场答疑解惑，同时对办理过程中常出现的问题进行总结，制成《依申请公开办理常见问题解答》，办理过程中全程督办，切实提升经办人员业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（二）本年度存在问题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一是政府信息公开路径趋于单向，与群众的互动较少；二是重点领域信息公开有待加强。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（三）下一步改进措施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1、加强政务新媒体与政府信息公开的融合，利用政务新媒体的互动功能，提升政府信息公开与群众的互动性；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2、持续做好重点领域及新增领域公开目录落实工作，归集整理相关信息，优化“社会救助”“养老服务”“食品药品”等专栏设置。完善“营商环境”“重大建设项目”等专题信息公开。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4"/>
          <w:szCs w:val="24"/>
        </w:rPr>
      </w:pPr>
      <w:r>
        <w:rPr>
          <w:rFonts w:hint="eastAsia" w:ascii="黑体" w:hAnsi="宋体" w:eastAsia="黑体" w:cs="黑体"/>
          <w:i w:val="0"/>
          <w:caps w:val="0"/>
          <w:color w:val="333333"/>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Calibri" w:eastAsia="仿宋_GB2312" w:cs="仿宋_GB2312"/>
          <w:i w:val="0"/>
          <w:caps w:val="0"/>
          <w:color w:val="333333"/>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lang w:val="en-US" w:eastAsia="zh-CN"/>
        </w:rPr>
        <w:t>2024年，结合广大群众关心关切的</w:t>
      </w:r>
      <w:r>
        <w:rPr>
          <w:rFonts w:hint="eastAsia" w:ascii="仿宋_GB2312" w:hAnsi="仿宋_GB2312" w:eastAsia="仿宋_GB2312" w:cs="仿宋_GB2312"/>
          <w:sz w:val="32"/>
          <w:szCs w:val="32"/>
          <w:lang w:val="en-US" w:eastAsia="zh-CN"/>
        </w:rPr>
        <w:t>教育”“医疗”“就业创业”“交通”“消费”等热点事项开展政府开放日活动</w:t>
      </w:r>
      <w:r>
        <w:rPr>
          <w:rFonts w:ascii="仿宋_GB2312" w:hAnsi="宋体" w:eastAsia="仿宋_GB2312" w:cs="仿宋_GB2312"/>
          <w:i w:val="0"/>
          <w:caps w:val="0"/>
          <w:color w:val="000000"/>
          <w:spacing w:val="0"/>
          <w:sz w:val="32"/>
          <w:szCs w:val="32"/>
          <w:shd w:val="clear" w:fill="FFFFFF"/>
        </w:rPr>
        <w:t>。如开展生源地信用助学贷款政策宣讲“政府开放日”，活动现场设置宣传展台、发放宣传彩页，业务骨干现场答疑解惑，解读生源地信用助学贷款申请、还款流程，介绍高校学生资助政策体系，扩大群众对学生资助政策的知晓面；开展“</w:t>
      </w:r>
      <w:r>
        <w:rPr>
          <w:rFonts w:hint="eastAsia" w:ascii="仿宋_GB2312" w:hAnsi="宋体" w:eastAsia="仿宋_GB2312" w:cs="仿宋_GB2312"/>
          <w:i w:val="0"/>
          <w:caps w:val="0"/>
          <w:color w:val="000000"/>
          <w:spacing w:val="0"/>
          <w:sz w:val="32"/>
          <w:szCs w:val="32"/>
          <w:shd w:val="clear" w:fill="FFFFFF"/>
        </w:rPr>
        <w:t>2024年叶集区离校未就业高校毕业生专场招聘会”，利用专区的公共平台属性，积极宣传、精准供岗，畅通求职渠道。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按照《国务院办公厅关于印发〈政府信息公开信息处理费管理办法〉的通知》（国办函〔2020〕109号）规定的按件、按量收费标准，本年度没有产生信息公开处理费。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220C7"/>
    <w:rsid w:val="0BC51E08"/>
    <w:rsid w:val="167A4E14"/>
    <w:rsid w:val="18AD3EE1"/>
    <w:rsid w:val="20CC7E57"/>
    <w:rsid w:val="2C2B1DFB"/>
    <w:rsid w:val="305F4B9B"/>
    <w:rsid w:val="32A73598"/>
    <w:rsid w:val="367B40BC"/>
    <w:rsid w:val="40296CCD"/>
    <w:rsid w:val="40C220C7"/>
    <w:rsid w:val="4CA12003"/>
    <w:rsid w:val="5FF51C92"/>
    <w:rsid w:val="64943580"/>
    <w:rsid w:val="662642D1"/>
    <w:rsid w:val="6B0D3DCB"/>
    <w:rsid w:val="7331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2025-01-23T00:36:00Z</dcterms:created>
  <dc:creator>周圆圆</dc:creator>
  <cp:lastModifiedBy>周圆圆</cp:lastModifiedBy>
  <dcterms:modified xsi:type="dcterms:W3CDTF">2025-02-20T01:35:06Z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