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480" w:lineRule="atLeast"/>
        <w:jc w:val="center"/>
        <w:rPr>
          <w:rFonts w:hint="default" w:ascii="方正小标宋简体" w:hAnsi="方正小标宋简体" w:eastAsia="方正小标宋简体" w:cs="方正小标宋简体"/>
          <w:b w:val="0"/>
          <w:color w:val="333333"/>
          <w:sz w:val="44"/>
          <w:szCs w:val="44"/>
          <w:shd w:val="clear" w:color="auto" w:fill="FFFFFF"/>
        </w:rPr>
      </w:pPr>
    </w:p>
    <w:p>
      <w:pPr>
        <w:pStyle w:val="2"/>
        <w:widowControl/>
        <w:shd w:val="clear" w:color="auto" w:fill="FFFFFF"/>
        <w:spacing w:beforeAutospacing="0" w:afterAutospacing="0" w:line="480" w:lineRule="atLeast"/>
        <w:jc w:val="center"/>
        <w:rPr>
          <w:rFonts w:hint="default" w:ascii="方正小标宋简体" w:hAnsi="方正小标宋简体" w:eastAsia="方正小标宋简体" w:cs="方正小标宋简体"/>
          <w:b w:val="0"/>
          <w:color w:val="333333"/>
          <w:sz w:val="44"/>
          <w:szCs w:val="44"/>
          <w:shd w:val="clear" w:color="auto" w:fill="FFFFFF"/>
        </w:rPr>
      </w:pPr>
      <w:r>
        <w:rPr>
          <w:rFonts w:ascii="方正小标宋简体" w:hAnsi="方正小标宋简体" w:eastAsia="方正小标宋简体" w:cs="方正小标宋简体"/>
          <w:b w:val="0"/>
          <w:color w:val="333333"/>
          <w:sz w:val="44"/>
          <w:szCs w:val="44"/>
          <w:shd w:val="clear" w:color="auto" w:fill="FFFFFF"/>
        </w:rPr>
        <w:t>六安市叶集区人民政府办公室</w:t>
      </w:r>
    </w:p>
    <w:p>
      <w:pPr>
        <w:pStyle w:val="2"/>
        <w:widowControl/>
        <w:shd w:val="clear" w:color="auto" w:fill="FFFFFF"/>
        <w:spacing w:beforeAutospacing="0" w:afterAutospacing="0" w:line="480" w:lineRule="atLeast"/>
        <w:jc w:val="center"/>
        <w:rPr>
          <w:rFonts w:hint="default" w:ascii="方正小标宋简体" w:hAnsi="方正小标宋简体" w:eastAsia="方正小标宋简体" w:cs="方正小标宋简体"/>
          <w:b w:val="0"/>
          <w:color w:val="333333"/>
          <w:sz w:val="44"/>
          <w:szCs w:val="44"/>
        </w:rPr>
      </w:pPr>
      <w:r>
        <w:rPr>
          <w:rFonts w:ascii="方正小标宋简体" w:hAnsi="方正小标宋简体" w:eastAsia="方正小标宋简体" w:cs="方正小标宋简体"/>
          <w:b w:val="0"/>
          <w:color w:val="333333"/>
          <w:sz w:val="44"/>
          <w:szCs w:val="44"/>
          <w:shd w:val="clear" w:color="auto" w:fill="FFFFFF"/>
        </w:rPr>
        <w:t>2024年政府信息公开工作年度报告</w:t>
      </w:r>
    </w:p>
    <w:p>
      <w:pPr>
        <w:pStyle w:val="2"/>
        <w:widowControl/>
        <w:shd w:val="clear" w:color="auto" w:fill="FFFFFF"/>
        <w:spacing w:beforeAutospacing="0" w:afterAutospacing="0" w:line="480" w:lineRule="atLeast"/>
        <w:jc w:val="center"/>
        <w:rPr>
          <w:rFonts w:hint="default" w:ascii="微软雅黑" w:hAnsi="微软雅黑" w:eastAsia="微软雅黑" w:cs="微软雅黑"/>
          <w:b w:val="0"/>
          <w:color w:val="333333"/>
        </w:rPr>
      </w:pPr>
      <w:r>
        <w:rPr>
          <w:rFonts w:ascii="仿宋_GB2312" w:hAnsi="微软雅黑" w:eastAsia="仿宋_GB2312" w:cs="仿宋_GB2312"/>
          <w:b w:val="0"/>
          <w:color w:val="333333"/>
          <w:sz w:val="21"/>
          <w:szCs w:val="21"/>
          <w:shd w:val="clear" w:color="auto" w:fill="FFFFFF"/>
        </w:rPr>
        <w:t> </w:t>
      </w:r>
    </w:p>
    <w:p>
      <w:pPr>
        <w:pStyle w:val="3"/>
        <w:widowControl/>
        <w:shd w:val="clear" w:color="auto" w:fill="FFFFFF"/>
        <w:spacing w:beforeAutospacing="0" w:afterAutospacing="0"/>
        <w:ind w:firstLine="640"/>
        <w:jc w:val="both"/>
        <w:rPr>
          <w:rFonts w:ascii="Calibri" w:hAnsi="Calibri" w:cs="Calibri"/>
          <w:color w:val="333333"/>
          <w:sz w:val="21"/>
          <w:szCs w:val="21"/>
        </w:rPr>
      </w:pPr>
      <w:r>
        <w:rPr>
          <w:rFonts w:hint="eastAsia" w:ascii="仿宋_GB2312" w:hAnsi="Calibri" w:eastAsia="仿宋_GB2312" w:cs="仿宋_GB2312"/>
          <w:color w:val="333333"/>
          <w:sz w:val="32"/>
          <w:szCs w:val="32"/>
          <w:shd w:val="clear" w:color="auto" w:fill="FFFFFF"/>
        </w:rPr>
        <w:t>本报告根据《中华人民共和国政府信息公开条例》（国务院令第711号，以下简称新《条例》）及省市有关文件要求，由区政府办公室结合统计数据编制而成。本报告中使用数据统计期限为2024年1月1日至12月31日</w:t>
      </w:r>
      <w:r>
        <w:rPr>
          <w:rFonts w:hint="eastAsia" w:ascii="仿宋_GB2312" w:hAnsi="Calibri" w:eastAsia="仿宋_GB2312" w:cs="仿宋_GB2312"/>
          <w:color w:val="333333"/>
          <w:sz w:val="32"/>
          <w:szCs w:val="32"/>
          <w:shd w:val="clear" w:color="auto" w:fill="FFFFFF"/>
          <w:lang w:eastAsia="zh-CN"/>
        </w:rPr>
        <w:t>。</w:t>
      </w:r>
      <w:r>
        <w:rPr>
          <w:rFonts w:hint="eastAsia" w:ascii="仿宋_GB2312" w:hAnsi="Calibri" w:eastAsia="仿宋_GB2312" w:cs="仿宋_GB2312"/>
          <w:color w:val="333333"/>
          <w:sz w:val="32"/>
          <w:szCs w:val="32"/>
          <w:shd w:val="clear" w:color="auto" w:fill="FFFFFF"/>
        </w:rPr>
        <w:t>如对本报告有任何疑问，请与六安市叶集区人民政府办公室</w:t>
      </w:r>
      <w:r>
        <w:rPr>
          <w:rFonts w:hint="eastAsia" w:ascii="仿宋_GB2312" w:hAnsi="Calibri" w:eastAsia="仿宋_GB2312" w:cs="仿宋_GB2312"/>
          <w:color w:val="333333"/>
          <w:sz w:val="32"/>
          <w:szCs w:val="32"/>
          <w:shd w:val="clear" w:color="auto" w:fill="FFFFFF"/>
          <w:lang w:eastAsia="zh-CN"/>
        </w:rPr>
        <w:t>（</w:t>
      </w:r>
      <w:r>
        <w:rPr>
          <w:rFonts w:hint="eastAsia" w:ascii="仿宋_GB2312" w:hAnsi="Calibri" w:eastAsia="仿宋_GB2312" w:cs="仿宋_GB2312"/>
          <w:color w:val="333333"/>
          <w:sz w:val="32"/>
          <w:szCs w:val="32"/>
          <w:shd w:val="clear" w:color="auto" w:fill="FFFFFF"/>
          <w:lang w:val="en-US" w:eastAsia="zh-CN"/>
        </w:rPr>
        <w:t>政务公开股</w:t>
      </w:r>
      <w:r>
        <w:rPr>
          <w:rFonts w:hint="eastAsia" w:ascii="仿宋_GB2312" w:hAnsi="Calibri" w:eastAsia="仿宋_GB2312" w:cs="仿宋_GB2312"/>
          <w:color w:val="333333"/>
          <w:sz w:val="32"/>
          <w:szCs w:val="32"/>
          <w:shd w:val="clear" w:color="auto" w:fill="FFFFFF"/>
          <w:lang w:eastAsia="zh-CN"/>
        </w:rPr>
        <w:t>）</w:t>
      </w:r>
      <w:r>
        <w:rPr>
          <w:rFonts w:hint="eastAsia" w:ascii="仿宋_GB2312" w:hAnsi="Calibri" w:eastAsia="仿宋_GB2312" w:cs="仿宋_GB2312"/>
          <w:color w:val="333333"/>
          <w:sz w:val="32"/>
          <w:szCs w:val="32"/>
          <w:shd w:val="clear" w:color="auto" w:fill="FFFFFF"/>
        </w:rPr>
        <w:t>联系（地址：六安市叶集区行政中心2楼231室，电话：0564--2770030，邮编：237431）。</w:t>
      </w:r>
    </w:p>
    <w:p>
      <w:pPr>
        <w:pStyle w:val="3"/>
        <w:widowControl/>
        <w:shd w:val="clear" w:color="auto" w:fill="FFFFFF"/>
        <w:spacing w:beforeAutospacing="0" w:afterAutospacing="0"/>
        <w:ind w:firstLine="640"/>
        <w:jc w:val="both"/>
        <w:rPr>
          <w:rFonts w:ascii="Calibri" w:hAnsi="Calibri" w:cs="Calibri"/>
          <w:color w:val="333333"/>
          <w:sz w:val="21"/>
          <w:szCs w:val="21"/>
        </w:rPr>
      </w:pPr>
      <w:r>
        <w:rPr>
          <w:rFonts w:ascii="黑体" w:hAnsi="宋体" w:eastAsia="黑体" w:cs="黑体"/>
          <w:color w:val="333333"/>
          <w:sz w:val="32"/>
          <w:szCs w:val="32"/>
          <w:shd w:val="clear" w:color="auto" w:fill="FFFFFF"/>
        </w:rPr>
        <w:t>一、总体情况</w:t>
      </w:r>
    </w:p>
    <w:p>
      <w:pPr>
        <w:pStyle w:val="3"/>
        <w:widowControl/>
        <w:shd w:val="clear" w:color="auto" w:fill="FFFFFF"/>
        <w:spacing w:beforeAutospacing="0" w:afterAutospacing="0"/>
        <w:ind w:firstLine="640"/>
        <w:jc w:val="both"/>
        <w:rPr>
          <w:rFonts w:ascii="Calibri" w:hAnsi="Calibri" w:cs="Calibri"/>
          <w:color w:val="333333"/>
          <w:sz w:val="21"/>
          <w:szCs w:val="21"/>
        </w:rPr>
      </w:pPr>
      <w:r>
        <w:rPr>
          <w:rFonts w:ascii="楷体_GB2312" w:hAnsi="Calibri" w:eastAsia="楷体_GB2312" w:cs="楷体_GB2312"/>
          <w:color w:val="333333"/>
          <w:sz w:val="32"/>
          <w:szCs w:val="32"/>
          <w:shd w:val="clear" w:color="auto" w:fill="FFFFFF"/>
        </w:rPr>
        <w:t>（一）主动公开</w:t>
      </w:r>
    </w:p>
    <w:p>
      <w:pPr>
        <w:ind w:firstLine="640" w:firstLineChars="200"/>
        <w:rPr>
          <w:rFonts w:ascii="仿宋_GB2312" w:hAnsi="Calibri" w:eastAsia="仿宋_GB2312" w:cs="仿宋_GB2312"/>
          <w:color w:val="333333"/>
          <w:sz w:val="32"/>
          <w:szCs w:val="32"/>
          <w:shd w:val="clear" w:color="auto" w:fill="FFFFFF"/>
        </w:rPr>
      </w:pPr>
      <w:r>
        <w:rPr>
          <w:rFonts w:hint="eastAsia" w:ascii="仿宋_GB2312" w:hAnsi="Calibri" w:eastAsia="仿宋_GB2312" w:cs="仿宋_GB2312"/>
          <w:color w:val="333333"/>
          <w:sz w:val="32"/>
          <w:szCs w:val="32"/>
          <w:shd w:val="clear" w:color="auto" w:fill="FFFFFF"/>
        </w:rPr>
        <w:t>对照省、市政务公开工作要点，</w:t>
      </w:r>
      <w:r>
        <w:rPr>
          <w:rFonts w:hint="eastAsia" w:ascii="仿宋_GB2312" w:hAnsi="Calibri" w:eastAsia="仿宋_GB2312" w:cs="仿宋_GB2312"/>
          <w:color w:val="333333"/>
          <w:sz w:val="32"/>
          <w:szCs w:val="32"/>
          <w:shd w:val="clear" w:color="auto" w:fill="FFFFFF"/>
          <w:lang w:val="en-US" w:eastAsia="zh-CN"/>
        </w:rPr>
        <w:t>聚焦</w:t>
      </w:r>
      <w:r>
        <w:rPr>
          <w:rFonts w:hint="eastAsia" w:ascii="仿宋_GB2312" w:hAnsi="Calibri" w:eastAsia="仿宋_GB2312" w:cs="仿宋_GB2312"/>
          <w:color w:val="333333"/>
          <w:sz w:val="32"/>
          <w:szCs w:val="32"/>
          <w:shd w:val="clear" w:color="auto" w:fill="FFFFFF"/>
        </w:rPr>
        <w:t>重点领域，严格落实各项任务要求。</w:t>
      </w:r>
      <w:r>
        <w:rPr>
          <w:rFonts w:hint="eastAsia" w:ascii="仿宋_GB2312" w:hAnsi="Calibri" w:eastAsia="仿宋_GB2312" w:cs="仿宋_GB2312"/>
          <w:color w:val="333333"/>
          <w:sz w:val="32"/>
          <w:szCs w:val="32"/>
          <w:shd w:val="clear" w:color="auto" w:fill="FFFFFF"/>
          <w:lang w:val="en-US" w:eastAsia="zh-CN"/>
        </w:rPr>
        <w:t>紧扣民生领域，准确全面公开群众普遍关心、涉及群众切实利益的信息,推动“民声呼应”提质增效，全年公开</w:t>
      </w:r>
      <w:r>
        <w:rPr>
          <w:rFonts w:hint="eastAsia" w:ascii="仿宋_GB2312" w:hAnsi="Calibri" w:eastAsia="仿宋_GB2312" w:cs="仿宋_GB2312"/>
          <w:color w:val="333333"/>
          <w:sz w:val="32"/>
          <w:szCs w:val="32"/>
          <w:shd w:val="clear" w:color="auto" w:fill="FFFFFF"/>
        </w:rPr>
        <w:t>教育、医疗、就业、社会救助</w:t>
      </w:r>
      <w:r>
        <w:rPr>
          <w:rFonts w:hint="eastAsia" w:ascii="仿宋_GB2312" w:hAnsi="Calibri" w:eastAsia="仿宋_GB2312" w:cs="仿宋_GB2312"/>
          <w:color w:val="333333"/>
          <w:sz w:val="32"/>
          <w:szCs w:val="32"/>
          <w:shd w:val="clear" w:color="auto" w:fill="FFFFFF"/>
          <w:lang w:val="en-US" w:eastAsia="zh-CN"/>
        </w:rPr>
        <w:t>等民生领域信息361条，聚</w:t>
      </w:r>
      <w:r>
        <w:rPr>
          <w:rFonts w:hint="eastAsia" w:ascii="仿宋_GB2312" w:hAnsi="Calibri" w:eastAsia="仿宋_GB2312" w:cs="仿宋_GB2312"/>
          <w:color w:val="333333"/>
          <w:sz w:val="32"/>
          <w:szCs w:val="32"/>
          <w:shd w:val="clear" w:color="auto" w:fill="FFFFFF"/>
        </w:rPr>
        <w:t>焦经济发展，</w:t>
      </w:r>
      <w:r>
        <w:rPr>
          <w:rFonts w:hint="eastAsia" w:ascii="仿宋_GB2312" w:hAnsi="Calibri" w:eastAsia="仿宋_GB2312" w:cs="仿宋_GB2312"/>
          <w:color w:val="333333"/>
          <w:sz w:val="32"/>
          <w:szCs w:val="32"/>
          <w:shd w:val="clear" w:color="auto" w:fill="FFFFFF"/>
          <w:lang w:val="en-US" w:eastAsia="zh-CN"/>
        </w:rPr>
        <w:t>公开</w:t>
      </w:r>
      <w:r>
        <w:rPr>
          <w:rFonts w:hint="eastAsia" w:ascii="仿宋_GB2312" w:hAnsi="Calibri" w:eastAsia="仿宋_GB2312" w:cs="仿宋_GB2312"/>
          <w:color w:val="333333"/>
          <w:sz w:val="32"/>
          <w:szCs w:val="32"/>
          <w:shd w:val="clear" w:color="auto" w:fill="FFFFFF"/>
        </w:rPr>
        <w:t>扩大有效投资、高质量发展等政策举措和工作成效信息</w:t>
      </w:r>
      <w:r>
        <w:rPr>
          <w:rFonts w:hint="eastAsia" w:ascii="仿宋_GB2312" w:hAnsi="Calibri" w:eastAsia="仿宋_GB2312" w:cs="仿宋_GB2312"/>
          <w:color w:val="333333"/>
          <w:sz w:val="32"/>
          <w:szCs w:val="32"/>
          <w:shd w:val="clear" w:color="auto" w:fill="FFFFFF"/>
          <w:lang w:val="en-US" w:eastAsia="zh-CN"/>
        </w:rPr>
        <w:t>225条</w:t>
      </w:r>
      <w:r>
        <w:rPr>
          <w:rFonts w:hint="eastAsia" w:ascii="仿宋_GB2312" w:hAnsi="Calibri" w:eastAsia="仿宋_GB2312" w:cs="仿宋_GB2312"/>
          <w:color w:val="333333"/>
          <w:sz w:val="32"/>
          <w:szCs w:val="32"/>
          <w:shd w:val="clear" w:color="auto" w:fill="FFFFFF"/>
        </w:rPr>
        <w:t>，公开“高效办成一件事”2024年度重点事项清单与办理指南，</w:t>
      </w:r>
      <w:r>
        <w:rPr>
          <w:rFonts w:hint="eastAsia" w:ascii="仿宋_GB2312" w:hAnsi="Calibri" w:eastAsia="仿宋_GB2312" w:cs="仿宋_GB2312"/>
          <w:color w:val="333333"/>
          <w:sz w:val="32"/>
          <w:szCs w:val="32"/>
          <w:shd w:val="clear" w:color="auto" w:fill="FFFFFF"/>
          <w:lang w:val="en-US" w:eastAsia="zh-CN"/>
        </w:rPr>
        <w:t>更新</w:t>
      </w:r>
      <w:r>
        <w:rPr>
          <w:rFonts w:hint="eastAsia" w:ascii="仿宋_GB2312" w:hAnsi="Calibri" w:eastAsia="仿宋_GB2312" w:cs="仿宋_GB2312"/>
          <w:color w:val="333333"/>
          <w:sz w:val="32"/>
          <w:szCs w:val="32"/>
          <w:shd w:val="clear" w:color="auto" w:fill="FFFFFF"/>
        </w:rPr>
        <w:t>权责清单</w:t>
      </w:r>
      <w:r>
        <w:rPr>
          <w:rFonts w:hint="eastAsia" w:ascii="仿宋_GB2312" w:hAnsi="Calibri" w:eastAsia="仿宋_GB2312" w:cs="仿宋_GB2312"/>
          <w:color w:val="333333"/>
          <w:sz w:val="32"/>
          <w:szCs w:val="32"/>
          <w:shd w:val="clear" w:color="auto" w:fill="FFFFFF"/>
          <w:lang w:eastAsia="zh-CN"/>
        </w:rPr>
        <w:t>，</w:t>
      </w:r>
      <w:r>
        <w:rPr>
          <w:rFonts w:hint="eastAsia" w:ascii="仿宋_GB2312" w:hAnsi="Calibri" w:eastAsia="仿宋_GB2312" w:cs="仿宋_GB2312"/>
          <w:color w:val="333333"/>
          <w:sz w:val="32"/>
          <w:szCs w:val="32"/>
          <w:shd w:val="clear" w:color="auto" w:fill="FFFFFF"/>
          <w:lang w:val="en-US" w:eastAsia="zh-CN"/>
        </w:rPr>
        <w:t>及时发布行政权力运行结果信息</w:t>
      </w:r>
      <w:r>
        <w:rPr>
          <w:rFonts w:hint="eastAsia" w:ascii="仿宋_GB2312" w:hAnsi="Calibri" w:eastAsia="仿宋_GB2312" w:cs="仿宋_GB2312"/>
          <w:color w:val="333333"/>
          <w:sz w:val="32"/>
          <w:szCs w:val="32"/>
          <w:shd w:val="clear" w:color="auto" w:fill="FFFFFF"/>
          <w:lang w:eastAsia="zh-CN"/>
        </w:rPr>
        <w:t>。</w:t>
      </w:r>
      <w:r>
        <w:rPr>
          <w:rFonts w:hint="eastAsia" w:ascii="仿宋_GB2312" w:hAnsi="Calibri" w:eastAsia="仿宋_GB2312" w:cs="仿宋_GB2312"/>
          <w:color w:val="333333"/>
          <w:sz w:val="32"/>
          <w:szCs w:val="32"/>
          <w:shd w:val="clear" w:color="auto" w:fill="FFFFFF"/>
          <w:lang w:val="en-US" w:eastAsia="zh-CN"/>
        </w:rPr>
        <w:t>强化政策意见征集，全年公开意见征集公告23件。全面公开规范性文件，其他文件“应公开尽公开”</w:t>
      </w:r>
      <w:r>
        <w:rPr>
          <w:rFonts w:hint="eastAsia" w:ascii="仿宋_GB2312" w:hAnsi="Calibri" w:eastAsia="仿宋_GB2312" w:cs="仿宋_GB2312"/>
          <w:color w:val="333333"/>
          <w:sz w:val="32"/>
          <w:szCs w:val="32"/>
          <w:shd w:val="clear" w:color="auto" w:fill="FFFFFF"/>
          <w:lang w:eastAsia="zh-CN"/>
        </w:rPr>
        <w:t>。</w:t>
      </w:r>
      <w:r>
        <w:rPr>
          <w:rFonts w:hint="eastAsia" w:ascii="仿宋_GB2312" w:hAnsi="仿宋_GB2312" w:eastAsia="仿宋_GB2312" w:cs="仿宋_GB2312"/>
          <w:sz w:val="32"/>
          <w:szCs w:val="32"/>
        </w:rPr>
        <w:t>使用通俗易懂的表述对政策制定背景、</w:t>
      </w:r>
      <w:r>
        <w:rPr>
          <w:rFonts w:hint="eastAsia" w:ascii="仿宋_GB2312" w:hAnsi="仿宋_GB2312" w:eastAsia="仿宋_GB2312" w:cs="仿宋_GB2312"/>
          <w:sz w:val="32"/>
          <w:szCs w:val="32"/>
          <w:lang w:val="en-US" w:eastAsia="zh-CN"/>
        </w:rPr>
        <w:t>意义、</w:t>
      </w:r>
      <w:r>
        <w:rPr>
          <w:rFonts w:hint="eastAsia" w:ascii="仿宋_GB2312" w:hAnsi="仿宋_GB2312" w:eastAsia="仿宋_GB2312" w:cs="仿宋_GB2312"/>
          <w:sz w:val="32"/>
          <w:szCs w:val="32"/>
        </w:rPr>
        <w:t>研判起草过程、主要内容等进行详细解释，确保解读“接地气”，积极探索图片、动漫、新闻发布会等群众喜闻乐见的解读方式。2024年</w:t>
      </w:r>
      <w:r>
        <w:rPr>
          <w:rFonts w:hint="eastAsia" w:ascii="仿宋_GB2312" w:hAnsi="宋体" w:eastAsia="仿宋_GB2312" w:cs="仿宋_GB2312"/>
          <w:color w:val="333333"/>
          <w:sz w:val="32"/>
          <w:szCs w:val="32"/>
          <w:shd w:val="clear" w:color="auto" w:fill="FFFFFF"/>
        </w:rPr>
        <w:t>共发布文字解读4篇、图解4个、视频解读1个、媒体解读1个、新闻发布会和在线访谈2场</w:t>
      </w:r>
      <w:r>
        <w:rPr>
          <w:rFonts w:hint="eastAsia" w:ascii="仿宋_GB2312" w:hAnsi="宋体" w:eastAsia="仿宋_GB2312" w:cs="仿宋_GB2312"/>
          <w:color w:val="333333"/>
          <w:sz w:val="32"/>
          <w:szCs w:val="32"/>
          <w:shd w:val="clear" w:color="auto" w:fill="FFFFFF"/>
          <w:lang w:eastAsia="zh-CN"/>
        </w:rPr>
        <w:t>。</w:t>
      </w:r>
      <w:r>
        <w:rPr>
          <w:rFonts w:hint="eastAsia" w:ascii="仿宋_GB2312" w:hAnsi="宋体" w:eastAsia="仿宋_GB2312" w:cs="仿宋_GB2312"/>
          <w:color w:val="333333"/>
          <w:sz w:val="32"/>
          <w:szCs w:val="32"/>
          <w:shd w:val="clear" w:color="auto" w:fill="FFFFFF"/>
          <w:lang w:val="en-US" w:eastAsia="zh-CN"/>
        </w:rPr>
        <w:t>围绕</w:t>
      </w:r>
      <w:r>
        <w:rPr>
          <w:rFonts w:hint="eastAsia" w:ascii="仿宋_GB2312" w:hAnsi="Calibri" w:eastAsia="仿宋_GB2312" w:cs="仿宋_GB2312"/>
          <w:color w:val="333333"/>
          <w:sz w:val="32"/>
          <w:szCs w:val="32"/>
          <w:shd w:val="clear" w:color="auto" w:fill="FFFFFF"/>
        </w:rPr>
        <w:t>维护基层“两化”领域，按照最新指标要求做好信息的常态化更新，定期检查各乡镇街“两化”领域信息，确保区本级与乡镇街信息数据同源、逻辑一致。维护公共企事业单位专题，年度内对专题开展两次专项检测，</w:t>
      </w:r>
      <w:r>
        <w:rPr>
          <w:rFonts w:ascii="仿宋_GB2312" w:hAnsi="宋体" w:eastAsia="仿宋_GB2312" w:cs="仿宋_GB2312"/>
          <w:color w:val="000000"/>
          <w:sz w:val="32"/>
          <w:szCs w:val="32"/>
        </w:rPr>
        <w:t>全面</w:t>
      </w:r>
      <w:r>
        <w:rPr>
          <w:rFonts w:hint="eastAsia" w:ascii="仿宋_GB2312" w:hAnsi="宋体" w:eastAsia="仿宋_GB2312" w:cs="仿宋_GB2312"/>
          <w:color w:val="000000"/>
          <w:sz w:val="32"/>
          <w:szCs w:val="32"/>
        </w:rPr>
        <w:t>规范</w:t>
      </w:r>
      <w:r>
        <w:rPr>
          <w:rFonts w:ascii="仿宋_GB2312" w:hAnsi="宋体" w:eastAsia="仿宋_GB2312" w:cs="仿宋_GB2312"/>
          <w:color w:val="000000"/>
          <w:sz w:val="32"/>
          <w:szCs w:val="32"/>
        </w:rPr>
        <w:t>公开</w:t>
      </w:r>
      <w:r>
        <w:rPr>
          <w:rFonts w:hint="eastAsia" w:ascii="仿宋_GB2312" w:hAnsi="宋体" w:eastAsia="仿宋_GB2312" w:cs="仿宋_GB2312"/>
          <w:color w:val="000000"/>
          <w:sz w:val="32"/>
          <w:szCs w:val="32"/>
        </w:rPr>
        <w:t>教育、医疗、交通、水电等信息3064条。</w:t>
      </w:r>
    </w:p>
    <w:p>
      <w:pPr>
        <w:pStyle w:val="3"/>
        <w:widowControl/>
        <w:shd w:val="clear" w:color="auto" w:fill="FFFFFF"/>
        <w:spacing w:beforeAutospacing="0" w:afterAutospacing="0"/>
        <w:ind w:firstLine="640"/>
        <w:jc w:val="both"/>
        <w:rPr>
          <w:rFonts w:ascii="Calibri" w:hAnsi="Calibri" w:cs="Calibri"/>
          <w:color w:val="333333"/>
          <w:sz w:val="21"/>
          <w:szCs w:val="21"/>
        </w:rPr>
      </w:pPr>
      <w:r>
        <w:rPr>
          <w:rFonts w:hint="eastAsia" w:ascii="楷体_GB2312" w:hAnsi="Calibri" w:eastAsia="楷体_GB2312" w:cs="楷体_GB2312"/>
          <w:color w:val="333333"/>
          <w:sz w:val="32"/>
          <w:szCs w:val="32"/>
          <w:shd w:val="clear" w:color="auto" w:fill="FFFFFF"/>
        </w:rPr>
        <w:t>（二）依申请公开</w:t>
      </w:r>
    </w:p>
    <w:p>
      <w:pPr>
        <w:pStyle w:val="3"/>
        <w:widowControl/>
        <w:shd w:val="clear" w:color="auto" w:fill="FFFFFF"/>
        <w:spacing w:beforeAutospacing="0" w:afterAutospacing="0"/>
        <w:ind w:firstLine="640"/>
        <w:jc w:val="both"/>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坚持规范办理，常态化维护依申请公开系统平台，线上与线下件统一纳入平台管理。坚持为民服务，办理过程中主动向前一步，积极与申请人沟通，保障人民群众对政府信息的知情权。今年以来，我办新收到依申请公开12件，上年结转1件，已全部办理完成。</w:t>
      </w:r>
    </w:p>
    <w:p>
      <w:pPr>
        <w:pStyle w:val="3"/>
        <w:widowControl/>
        <w:shd w:val="clear" w:color="auto" w:fill="FFFFFF"/>
        <w:spacing w:beforeAutospacing="0" w:afterAutospacing="0"/>
        <w:ind w:firstLine="640"/>
        <w:jc w:val="both"/>
        <w:rPr>
          <w:rFonts w:ascii="Calibri" w:hAnsi="Calibri" w:cs="Calibri"/>
          <w:color w:val="333333"/>
          <w:sz w:val="21"/>
          <w:szCs w:val="21"/>
        </w:rPr>
      </w:pPr>
      <w:r>
        <w:rPr>
          <w:rFonts w:hint="eastAsia" w:ascii="楷体_GB2312" w:hAnsi="Calibri" w:eastAsia="楷体_GB2312" w:cs="楷体_GB2312"/>
          <w:color w:val="333333"/>
          <w:sz w:val="32"/>
          <w:szCs w:val="32"/>
          <w:shd w:val="clear" w:color="auto" w:fill="FFFFFF"/>
        </w:rPr>
        <w:t>（三）政府信息管理</w:t>
      </w:r>
    </w:p>
    <w:p>
      <w:pPr>
        <w:pStyle w:val="3"/>
        <w:widowControl/>
        <w:shd w:val="clear" w:color="auto" w:fill="FFFFFF"/>
        <w:spacing w:beforeAutospacing="0" w:afterAutospacing="0"/>
        <w:ind w:firstLine="640"/>
        <w:jc w:val="both"/>
        <w:rPr>
          <w:rFonts w:ascii="仿宋_GB2312" w:hAnsi="宋体" w:eastAsia="仿宋_GB2312" w:cs="仿宋_GB2312"/>
          <w:color w:val="000000"/>
          <w:sz w:val="32"/>
          <w:szCs w:val="32"/>
          <w:shd w:val="clear" w:color="auto" w:fill="FFFFFF"/>
        </w:rPr>
      </w:pPr>
      <w:r>
        <w:rPr>
          <w:rFonts w:ascii="仿宋_GB2312" w:hAnsi="宋体" w:eastAsia="仿宋_GB2312" w:cs="仿宋_GB2312"/>
          <w:color w:val="000000"/>
          <w:sz w:val="32"/>
          <w:szCs w:val="32"/>
          <w:shd w:val="clear" w:color="auto" w:fill="FFFFFF"/>
        </w:rPr>
        <w:t>根据最新清理结果和文件印发情况全面摸排</w:t>
      </w:r>
      <w:r>
        <w:rPr>
          <w:rFonts w:hint="eastAsia" w:ascii="仿宋_GB2312" w:hAnsi="宋体" w:eastAsia="仿宋_GB2312" w:cs="仿宋_GB2312"/>
          <w:color w:val="000000"/>
          <w:sz w:val="32"/>
          <w:szCs w:val="32"/>
          <w:shd w:val="clear" w:color="auto" w:fill="FFFFFF"/>
        </w:rPr>
        <w:t>规范性文件，确保文件按标准格式规范展示。</w:t>
      </w:r>
      <w:r>
        <w:rPr>
          <w:rFonts w:ascii="仿宋_GB2312" w:hAnsi="宋体" w:eastAsia="仿宋_GB2312" w:cs="仿宋_GB2312"/>
          <w:color w:val="000000"/>
          <w:sz w:val="32"/>
          <w:szCs w:val="32"/>
          <w:shd w:val="clear" w:color="auto" w:fill="FFFFFF"/>
        </w:rPr>
        <w:t>梳理</w:t>
      </w:r>
      <w:r>
        <w:rPr>
          <w:rFonts w:hint="eastAsia" w:ascii="仿宋_GB2312" w:hAnsi="宋体" w:eastAsia="仿宋_GB2312" w:cs="仿宋_GB2312"/>
          <w:color w:val="000000"/>
          <w:sz w:val="32"/>
          <w:szCs w:val="32"/>
          <w:shd w:val="clear" w:color="auto" w:fill="FFFFFF"/>
        </w:rPr>
        <w:t>各</w:t>
      </w:r>
      <w:r>
        <w:rPr>
          <w:rFonts w:ascii="仿宋_GB2312" w:hAnsi="宋体" w:eastAsia="仿宋_GB2312" w:cs="仿宋_GB2312"/>
          <w:color w:val="000000"/>
          <w:sz w:val="32"/>
          <w:szCs w:val="32"/>
          <w:shd w:val="clear" w:color="auto" w:fill="FFFFFF"/>
        </w:rPr>
        <w:t>专题专栏</w:t>
      </w:r>
      <w:r>
        <w:rPr>
          <w:rFonts w:hint="eastAsia" w:ascii="仿宋_GB2312" w:hAnsi="宋体" w:eastAsia="仿宋_GB2312" w:cs="仿宋_GB2312"/>
          <w:color w:val="000000"/>
          <w:sz w:val="32"/>
          <w:szCs w:val="32"/>
          <w:shd w:val="clear" w:color="auto" w:fill="FFFFFF"/>
        </w:rPr>
        <w:t>的历史信息</w:t>
      </w:r>
      <w:r>
        <w:rPr>
          <w:rFonts w:ascii="仿宋_GB2312" w:hAnsi="宋体" w:eastAsia="仿宋_GB2312" w:cs="仿宋_GB2312"/>
          <w:color w:val="000000"/>
          <w:sz w:val="32"/>
          <w:szCs w:val="32"/>
          <w:shd w:val="clear" w:color="auto" w:fill="FFFFFF"/>
        </w:rPr>
        <w:t>，对已公开的信息进行风险排查，清理无关、失效、不需长期保留的信息</w:t>
      </w:r>
      <w:r>
        <w:rPr>
          <w:rFonts w:hint="eastAsia" w:ascii="仿宋_GB2312" w:hAnsi="宋体" w:eastAsia="仿宋_GB2312" w:cs="仿宋_GB2312"/>
          <w:color w:val="000000"/>
          <w:sz w:val="32"/>
          <w:szCs w:val="32"/>
          <w:shd w:val="clear" w:color="auto" w:fill="FFFFFF"/>
        </w:rPr>
        <w:t>。更新政府电话簿，确保机构职能、地址、联系方式等</w:t>
      </w:r>
      <w:r>
        <w:rPr>
          <w:rFonts w:hint="eastAsia" w:ascii="仿宋_GB2312" w:hAnsi="宋体" w:eastAsia="仿宋_GB2312" w:cs="仿宋_GB2312"/>
          <w:color w:val="000000"/>
          <w:sz w:val="32"/>
          <w:szCs w:val="32"/>
          <w:shd w:val="clear" w:color="auto" w:fill="FFFFFF"/>
          <w:lang w:val="en-US" w:eastAsia="zh-CN"/>
        </w:rPr>
        <w:t>需要长期展示的</w:t>
      </w:r>
      <w:r>
        <w:rPr>
          <w:rFonts w:hint="eastAsia" w:ascii="仿宋_GB2312" w:hAnsi="宋体" w:eastAsia="仿宋_GB2312" w:cs="仿宋_GB2312"/>
          <w:color w:val="000000"/>
          <w:sz w:val="32"/>
          <w:szCs w:val="32"/>
          <w:shd w:val="clear" w:color="auto" w:fill="FFFFFF"/>
        </w:rPr>
        <w:t>信息及时有效公开。</w:t>
      </w:r>
    </w:p>
    <w:p>
      <w:pPr>
        <w:pStyle w:val="3"/>
        <w:widowControl/>
        <w:shd w:val="clear" w:color="auto" w:fill="FFFFFF"/>
        <w:spacing w:beforeAutospacing="0" w:afterAutospacing="0"/>
        <w:ind w:firstLine="640"/>
        <w:jc w:val="both"/>
        <w:rPr>
          <w:rFonts w:ascii="Calibri" w:hAnsi="Calibri" w:cs="Calibri"/>
          <w:color w:val="333333"/>
          <w:sz w:val="21"/>
          <w:szCs w:val="21"/>
        </w:rPr>
      </w:pPr>
      <w:r>
        <w:rPr>
          <w:rFonts w:hint="eastAsia" w:ascii="楷体_GB2312" w:hAnsi="Calibri" w:eastAsia="楷体_GB2312" w:cs="楷体_GB2312"/>
          <w:color w:val="333333"/>
          <w:sz w:val="32"/>
          <w:szCs w:val="32"/>
          <w:shd w:val="clear" w:color="auto" w:fill="FFFFFF"/>
        </w:rPr>
        <w:t>（四）政府信息公开平台建设</w:t>
      </w:r>
    </w:p>
    <w:p>
      <w:pPr>
        <w:pStyle w:val="3"/>
        <w:widowControl/>
        <w:shd w:val="clear" w:color="auto" w:fill="FFFFFF"/>
        <w:spacing w:beforeAutospacing="0" w:afterAutospacing="0"/>
        <w:ind w:firstLine="640"/>
        <w:jc w:val="both"/>
        <w:rPr>
          <w:rFonts w:ascii="仿宋_GB2312" w:hAnsi="Calibri" w:eastAsia="仿宋_GB2312" w:cs="仿宋_GB2312"/>
          <w:color w:val="333333"/>
          <w:sz w:val="32"/>
          <w:szCs w:val="32"/>
          <w:shd w:val="clear" w:color="auto" w:fill="FFFFFF"/>
        </w:rPr>
      </w:pPr>
      <w:r>
        <w:rPr>
          <w:rFonts w:hint="eastAsia" w:ascii="仿宋_GB2312" w:hAnsi="Calibri" w:eastAsia="仿宋_GB2312" w:cs="仿宋_GB2312"/>
          <w:color w:val="333333"/>
          <w:sz w:val="32"/>
          <w:szCs w:val="32"/>
          <w:shd w:val="clear" w:color="auto" w:fill="FFFFFF"/>
        </w:rPr>
        <w:t>建设政策文件库专题，实现政策文件的意见征集、文件公开、政策解读、政策兑现、政策咨询的全生命周期展示。完成建议提案办理专题建设，按照会议编号顺时公开人大代表建议和政协委员提案的答复办理结果，并提供检索功能，方便群众查找。优化政府公报线上专栏检索功能。开设政策咨询与宣讲栏目，公开惠民惠企政策宣传宣讲信息。</w:t>
      </w:r>
    </w:p>
    <w:p>
      <w:pPr>
        <w:pStyle w:val="3"/>
        <w:widowControl/>
        <w:shd w:val="clear" w:color="auto" w:fill="FFFFFF"/>
        <w:spacing w:beforeAutospacing="0" w:afterAutospacing="0"/>
        <w:ind w:firstLine="640"/>
        <w:jc w:val="both"/>
        <w:rPr>
          <w:rFonts w:ascii="Calibri" w:hAnsi="Calibri" w:cs="Calibri"/>
          <w:color w:val="333333"/>
          <w:sz w:val="21"/>
          <w:szCs w:val="21"/>
        </w:rPr>
      </w:pPr>
      <w:r>
        <w:rPr>
          <w:rFonts w:hint="eastAsia" w:ascii="楷体_GB2312" w:hAnsi="Calibri" w:eastAsia="楷体_GB2312" w:cs="楷体_GB2312"/>
          <w:color w:val="333333"/>
          <w:sz w:val="32"/>
          <w:szCs w:val="32"/>
          <w:shd w:val="clear" w:color="auto" w:fill="FFFFFF"/>
        </w:rPr>
        <w:t>（五）监督保障</w:t>
      </w:r>
    </w:p>
    <w:p>
      <w:pPr>
        <w:ind w:firstLine="640" w:firstLineChars="200"/>
        <w:rPr>
          <w:rFonts w:ascii="仿宋_GB2312" w:hAnsi="Calibri" w:eastAsia="仿宋_GB2312" w:cs="仿宋_GB2312"/>
          <w:color w:val="333333"/>
          <w:kern w:val="0"/>
          <w:sz w:val="32"/>
          <w:szCs w:val="32"/>
          <w:shd w:val="clear" w:color="auto" w:fill="FFFFFF"/>
        </w:rPr>
      </w:pPr>
      <w:r>
        <w:rPr>
          <w:rFonts w:hint="eastAsia" w:ascii="仿宋_GB2312" w:hAnsi="Calibri" w:eastAsia="仿宋_GB2312" w:cs="仿宋_GB2312"/>
          <w:color w:val="333333"/>
          <w:kern w:val="0"/>
          <w:sz w:val="32"/>
          <w:szCs w:val="32"/>
          <w:shd w:val="clear" w:color="auto" w:fill="FFFFFF"/>
        </w:rPr>
        <w:t>将政务公开工作纳入政府目标管理绩效考核体系，开展线上测评，及时做好问题整改与复核。开展政务公开业务“半月谈”，通过经验交流、线下培训不断提升政务公开业务人员能力。</w:t>
      </w:r>
    </w:p>
    <w:p>
      <w:pPr>
        <w:pStyle w:val="3"/>
        <w:widowControl/>
        <w:shd w:val="clear" w:color="auto" w:fill="FFFFFF"/>
        <w:spacing w:beforeAutospacing="0" w:afterAutospacing="0"/>
        <w:ind w:firstLine="640"/>
        <w:jc w:val="both"/>
        <w:rPr>
          <w:rFonts w:ascii="黑体" w:hAnsi="宋体" w:eastAsia="黑体" w:cs="黑体"/>
          <w:color w:val="333333"/>
          <w:sz w:val="32"/>
          <w:szCs w:val="32"/>
          <w:shd w:val="clear" w:color="auto" w:fill="FFFFFF"/>
        </w:rPr>
      </w:pPr>
      <w:r>
        <w:rPr>
          <w:rFonts w:hint="eastAsia" w:ascii="黑体" w:hAnsi="宋体" w:eastAsia="黑体" w:cs="黑体"/>
          <w:color w:val="333333"/>
          <w:sz w:val="32"/>
          <w:szCs w:val="32"/>
          <w:shd w:val="clear" w:color="auto" w:fill="FFFFFF"/>
        </w:rPr>
        <w:t>二、主动公开政府信息情况</w:t>
      </w:r>
    </w:p>
    <w:tbl>
      <w:tblPr>
        <w:tblStyle w:val="7"/>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tblPrEx>
          <w:tblLayout w:type="fixed"/>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highlight w:val="red"/>
              </w:rPr>
            </w:pPr>
            <w:r>
              <w:rPr>
                <w:rFonts w:hint="eastAsia" w:ascii="宋体" w:hAnsi="宋体" w:eastAsia="宋体" w:cs="宋体"/>
                <w:color w:val="000000"/>
                <w:kern w:val="0"/>
                <w:sz w:val="20"/>
                <w:szCs w:val="20"/>
              </w:rPr>
              <w:t>4</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highlight w:val="red"/>
              </w:rPr>
            </w:pPr>
            <w:r>
              <w:rPr>
                <w:rFonts w:hint="eastAsia" w:ascii="宋体" w:hAnsi="宋体" w:eastAsia="宋体" w:cs="宋体"/>
                <w:color w:val="000000"/>
                <w:kern w:val="0"/>
                <w:sz w:val="20"/>
                <w:szCs w:val="20"/>
              </w:rPr>
              <w:t>39</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highlight w:val="red"/>
              </w:rPr>
            </w:pPr>
            <w:r>
              <w:rPr>
                <w:rFonts w:hint="eastAsia" w:ascii="宋体" w:hAnsi="宋体" w:eastAsia="宋体" w:cs="宋体"/>
                <w:color w:val="000000"/>
                <w:kern w:val="0"/>
                <w:sz w:val="20"/>
                <w:szCs w:val="20"/>
              </w:rPr>
              <w:t>51</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　</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hAnsi="Times New Roman" w:eastAsia="仿宋_GB2312" w:cs="Times New Roman"/>
                <w:color w:val="000000"/>
                <w:sz w:val="24"/>
              </w:rPr>
            </w:pPr>
            <w:r>
              <w:rPr>
                <w:rFonts w:hint="eastAsia" w:ascii="宋体" w:hAnsi="宋体" w:eastAsia="宋体" w:cs="宋体"/>
                <w:color w:val="000000"/>
                <w:kern w:val="0"/>
                <w:sz w:val="20"/>
                <w:szCs w:val="20"/>
              </w:rPr>
              <w:t>0</w:t>
            </w:r>
          </w:p>
        </w:tc>
      </w:tr>
    </w:tbl>
    <w:p>
      <w:pPr>
        <w:widowControl/>
        <w:shd w:val="clear" w:color="auto" w:fill="FFFFFF"/>
        <w:rPr>
          <w:rFonts w:ascii="宋体" w:hAnsi="宋体" w:eastAsia="宋体" w:cs="宋体"/>
          <w:b/>
          <w:color w:val="000000"/>
          <w:kern w:val="0"/>
          <w:sz w:val="24"/>
          <w:shd w:val="clear" w:color="auto" w:fill="FFFFFF"/>
        </w:rPr>
      </w:pPr>
    </w:p>
    <w:p>
      <w:pPr>
        <w:widowControl/>
        <w:shd w:val="clear" w:color="auto" w:fill="FFFFFF"/>
        <w:rPr>
          <w:rFonts w:ascii="宋体" w:hAnsi="宋体" w:eastAsia="宋体" w:cs="宋体"/>
          <w:b/>
          <w:color w:val="000000"/>
          <w:kern w:val="0"/>
          <w:sz w:val="24"/>
          <w:shd w:val="clear" w:color="auto" w:fill="FFFFFF"/>
        </w:rPr>
      </w:pPr>
      <w:r>
        <w:rPr>
          <w:rFonts w:hint="eastAsia" w:ascii="黑体" w:hAnsi="宋体" w:eastAsia="黑体" w:cs="黑体"/>
          <w:color w:val="333333"/>
          <w:kern w:val="0"/>
          <w:sz w:val="32"/>
          <w:szCs w:val="32"/>
          <w:shd w:val="clear" w:color="auto" w:fill="FFFFFF"/>
        </w:rPr>
        <w:t>三、收到和处理政府信息公开申请情况</w:t>
      </w:r>
    </w:p>
    <w:tbl>
      <w:tblPr>
        <w:tblStyle w:val="7"/>
        <w:tblW w:w="9745"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12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5</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5</w:t>
            </w:r>
            <w:r>
              <w:rPr>
                <w:rFonts w:ascii="Calibri" w:hAnsi="Calibri" w:eastAsia="仿宋_GB2312" w:cs="Calibri"/>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outset"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6"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rPr>
              <w:t>13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jc w:val="center"/>
              <w:rPr>
                <w:rFonts w:ascii="宋体" w:hAnsi="Times New Roman" w:eastAsia="仿宋_GB2312" w:cs="Times New Roman"/>
                <w:color w:val="000000"/>
                <w:sz w:val="24"/>
              </w:rPr>
            </w:pPr>
            <w:r>
              <w:rPr>
                <w:rFonts w:hint="eastAsia" w:ascii="Calibri" w:hAnsi="Calibri" w:eastAsia="仿宋_GB2312" w:cs="Calibri"/>
                <w:color w:val="000000"/>
                <w:kern w:val="0"/>
                <w:sz w:val="20"/>
                <w:szCs w:val="20"/>
              </w:rPr>
              <w:t>0</w:t>
            </w:r>
          </w:p>
        </w:tc>
      </w:tr>
    </w:tbl>
    <w:p>
      <w:pPr>
        <w:widowControl/>
        <w:shd w:val="clear" w:color="auto" w:fill="FFFFFF"/>
        <w:jc w:val="center"/>
        <w:rPr>
          <w:rFonts w:ascii="宋体" w:hAnsi="宋体" w:eastAsia="宋体" w:cs="宋体"/>
          <w:color w:val="000000"/>
          <w:sz w:val="24"/>
        </w:rPr>
      </w:pPr>
    </w:p>
    <w:p>
      <w:pPr>
        <w:widowControl/>
        <w:shd w:val="clear" w:color="auto" w:fill="FFFFFF"/>
        <w:ind w:firstLine="420"/>
        <w:rPr>
          <w:rFonts w:ascii="宋体" w:hAnsi="宋体" w:eastAsia="宋体" w:cs="宋体"/>
          <w:color w:val="000000"/>
          <w:kern w:val="0"/>
          <w:sz w:val="24"/>
        </w:rPr>
      </w:pPr>
      <w:r>
        <w:rPr>
          <w:rFonts w:hint="eastAsia" w:ascii="黑体" w:hAnsi="宋体" w:eastAsia="黑体" w:cs="黑体"/>
          <w:color w:val="333333"/>
          <w:kern w:val="0"/>
          <w:sz w:val="32"/>
          <w:szCs w:val="32"/>
          <w:shd w:val="clear" w:color="auto" w:fill="FFFFFF"/>
        </w:rPr>
        <w:t>四、政府信息公开行政复议、行政诉讼情况</w:t>
      </w:r>
    </w:p>
    <w:p>
      <w:pPr>
        <w:widowControl/>
        <w:shd w:val="clear" w:color="auto" w:fill="FFFFFF"/>
        <w:jc w:val="center"/>
        <w:rPr>
          <w:rFonts w:ascii="宋体" w:hAnsi="宋体" w:eastAsia="宋体" w:cs="宋体"/>
          <w:color w:val="000000"/>
          <w:sz w:val="24"/>
        </w:rPr>
      </w:pPr>
    </w:p>
    <w:tbl>
      <w:tblPr>
        <w:tblStyle w:val="7"/>
        <w:tblW w:w="9743"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bl>
    <w:p>
      <w:pPr>
        <w:widowControl/>
        <w:jc w:val="left"/>
        <w:rPr>
          <w:rFonts w:ascii="仿宋_GB2312" w:hAnsi="Times New Roman" w:eastAsia="仿宋_GB2312" w:cs="Times New Roman"/>
          <w:color w:val="000000"/>
          <w:sz w:val="32"/>
          <w:szCs w:val="32"/>
        </w:rPr>
      </w:pPr>
    </w:p>
    <w:p>
      <w:pPr>
        <w:pStyle w:val="3"/>
        <w:widowControl/>
        <w:shd w:val="clear" w:color="auto" w:fill="FFFFFF"/>
        <w:spacing w:beforeAutospacing="0" w:afterAutospacing="0"/>
        <w:ind w:firstLine="640"/>
        <w:jc w:val="both"/>
        <w:rPr>
          <w:rFonts w:ascii="黑体" w:hAnsi="宋体" w:eastAsia="黑体" w:cs="黑体"/>
          <w:color w:val="333333"/>
          <w:sz w:val="32"/>
          <w:szCs w:val="32"/>
          <w:shd w:val="clear" w:color="auto" w:fill="FFFFFF"/>
        </w:rPr>
      </w:pPr>
      <w:r>
        <w:rPr>
          <w:rFonts w:hint="eastAsia" w:ascii="黑体" w:hAnsi="宋体" w:eastAsia="黑体" w:cs="黑体"/>
          <w:color w:val="333333"/>
          <w:sz w:val="32"/>
          <w:szCs w:val="32"/>
          <w:shd w:val="clear" w:color="auto" w:fill="FFFFFF"/>
        </w:rPr>
        <w:t>五、存在的主要问题及改进情况</w:t>
      </w:r>
    </w:p>
    <w:p>
      <w:pPr>
        <w:pStyle w:val="3"/>
        <w:widowControl/>
        <w:shd w:val="clear" w:color="auto" w:fill="FFFFFF"/>
        <w:spacing w:beforeAutospacing="0" w:afterAutospacing="0" w:line="576" w:lineRule="atLeast"/>
        <w:ind w:firstLine="640"/>
        <w:jc w:val="both"/>
        <w:rPr>
          <w:rFonts w:hint="eastAsia" w:ascii="仿宋_GB2312" w:hAnsi="Calibri" w:eastAsia="仿宋_GB2312" w:cs="仿宋_GB2312"/>
          <w:color w:val="333333"/>
          <w:sz w:val="32"/>
          <w:szCs w:val="32"/>
          <w:shd w:val="clear" w:color="auto" w:fill="FFFFFF"/>
        </w:rPr>
      </w:pPr>
      <w:r>
        <w:rPr>
          <w:rFonts w:hint="eastAsia" w:ascii="仿宋_GB2312" w:hAnsi="Calibri" w:eastAsia="仿宋_GB2312" w:cs="仿宋_GB2312"/>
          <w:color w:val="333333"/>
          <w:sz w:val="32"/>
          <w:szCs w:val="32"/>
          <w:shd w:val="clear" w:color="auto" w:fill="FFFFFF"/>
          <w:lang w:eastAsia="zh-CN"/>
        </w:rPr>
        <w:t>（</w:t>
      </w:r>
      <w:r>
        <w:rPr>
          <w:rFonts w:hint="eastAsia" w:ascii="仿宋_GB2312" w:hAnsi="Calibri" w:eastAsia="仿宋_GB2312" w:cs="仿宋_GB2312"/>
          <w:color w:val="333333"/>
          <w:sz w:val="32"/>
          <w:szCs w:val="32"/>
          <w:shd w:val="clear" w:color="auto" w:fill="FFFFFF"/>
          <w:lang w:val="en-US" w:eastAsia="zh-CN"/>
        </w:rPr>
        <w:t>一</w:t>
      </w:r>
      <w:r>
        <w:rPr>
          <w:rFonts w:hint="eastAsia" w:ascii="仿宋_GB2312" w:hAnsi="Calibri" w:eastAsia="仿宋_GB2312" w:cs="仿宋_GB2312"/>
          <w:color w:val="333333"/>
          <w:sz w:val="32"/>
          <w:szCs w:val="32"/>
          <w:shd w:val="clear" w:color="auto" w:fill="FFFFFF"/>
          <w:lang w:eastAsia="zh-CN"/>
        </w:rPr>
        <w:t>）</w:t>
      </w:r>
      <w:r>
        <w:rPr>
          <w:rFonts w:hint="eastAsia" w:ascii="仿宋_GB2312" w:hAnsi="Calibri" w:eastAsia="仿宋_GB2312" w:cs="仿宋_GB2312"/>
          <w:color w:val="333333"/>
          <w:sz w:val="32"/>
          <w:szCs w:val="32"/>
          <w:shd w:val="clear" w:color="auto" w:fill="FFFFFF"/>
        </w:rPr>
        <w:t>上年度存在问题整改情况</w:t>
      </w:r>
    </w:p>
    <w:p>
      <w:pPr>
        <w:pStyle w:val="3"/>
        <w:widowControl/>
        <w:numPr>
          <w:ilvl w:val="0"/>
          <w:numId w:val="1"/>
        </w:numPr>
        <w:shd w:val="clear" w:color="auto" w:fill="FFFFFF"/>
        <w:spacing w:beforeAutospacing="0" w:afterAutospacing="0" w:line="576" w:lineRule="atLeast"/>
        <w:ind w:firstLine="640"/>
        <w:jc w:val="both"/>
        <w:rPr>
          <w:rFonts w:hint="eastAsia" w:ascii="仿宋_GB2312" w:hAnsi="Calibri" w:eastAsia="仿宋_GB2312" w:cs="仿宋_GB2312"/>
          <w:color w:val="333333"/>
          <w:sz w:val="32"/>
          <w:szCs w:val="32"/>
          <w:shd w:val="clear" w:color="auto" w:fill="FFFFFF"/>
        </w:rPr>
      </w:pPr>
      <w:r>
        <w:rPr>
          <w:rFonts w:hint="eastAsia" w:ascii="仿宋_GB2312" w:hAnsi="Calibri" w:eastAsia="仿宋_GB2312" w:cs="仿宋_GB2312"/>
          <w:color w:val="333333"/>
          <w:sz w:val="32"/>
          <w:szCs w:val="32"/>
          <w:shd w:val="clear" w:color="auto" w:fill="FFFFFF"/>
        </w:rPr>
        <w:t>针对上年度“公开形式和公开渠道不多样，缺少对新兴技术和手段的充分利用”的问题，我办通过政务新媒体渠道拓宽线上公开途径</w:t>
      </w:r>
      <w:r>
        <w:rPr>
          <w:rFonts w:hint="eastAsia" w:ascii="仿宋_GB2312" w:hAnsi="Calibri" w:eastAsia="仿宋_GB2312" w:cs="仿宋_GB2312"/>
          <w:color w:val="333333"/>
          <w:sz w:val="32"/>
          <w:szCs w:val="32"/>
          <w:shd w:val="clear" w:color="auto" w:fill="FFFFFF"/>
          <w:lang w:eastAsia="zh-CN"/>
        </w:rPr>
        <w:t>，</w:t>
      </w:r>
      <w:r>
        <w:rPr>
          <w:rFonts w:hint="eastAsia" w:ascii="仿宋_GB2312" w:hAnsi="Calibri" w:eastAsia="仿宋_GB2312" w:cs="仿宋_GB2312"/>
          <w:color w:val="333333"/>
          <w:sz w:val="32"/>
          <w:szCs w:val="32"/>
          <w:shd w:val="clear" w:color="auto" w:fill="FFFFFF"/>
          <w:lang w:val="en-US" w:eastAsia="zh-CN"/>
        </w:rPr>
        <w:t>利用政务公开专区数字设备，24小时展示最新政策解读、新闻发布会等信息，有效提升了信息公开效果</w:t>
      </w:r>
      <w:r>
        <w:rPr>
          <w:rFonts w:hint="eastAsia" w:ascii="仿宋_GB2312" w:hAnsi="Calibri" w:eastAsia="仿宋_GB2312" w:cs="仿宋_GB2312"/>
          <w:color w:val="333333"/>
          <w:sz w:val="32"/>
          <w:szCs w:val="32"/>
          <w:shd w:val="clear" w:color="auto" w:fill="FFFFFF"/>
          <w:lang w:eastAsia="zh-CN"/>
        </w:rPr>
        <w:t>；</w:t>
      </w:r>
    </w:p>
    <w:p>
      <w:pPr>
        <w:pStyle w:val="3"/>
        <w:widowControl/>
        <w:numPr>
          <w:ilvl w:val="0"/>
          <w:numId w:val="0"/>
        </w:numPr>
        <w:shd w:val="clear" w:color="auto" w:fill="FFFFFF"/>
        <w:spacing w:beforeAutospacing="0" w:afterAutospacing="0" w:line="576" w:lineRule="atLeast"/>
        <w:ind w:firstLine="320" w:firstLineChars="100"/>
        <w:jc w:val="both"/>
        <w:rPr>
          <w:rFonts w:ascii="仿宋_GB2312" w:hAnsi="Calibri" w:eastAsia="仿宋_GB2312" w:cs="仿宋_GB2312"/>
          <w:color w:val="333333"/>
          <w:sz w:val="32"/>
          <w:szCs w:val="32"/>
          <w:shd w:val="clear" w:color="auto" w:fill="FFFFFF"/>
        </w:rPr>
      </w:pPr>
      <w:r>
        <w:rPr>
          <w:rFonts w:hint="eastAsia" w:ascii="仿宋_GB2312" w:hAnsi="Calibri" w:eastAsia="仿宋_GB2312" w:cs="仿宋_GB2312"/>
          <w:color w:val="333333"/>
          <w:sz w:val="32"/>
          <w:szCs w:val="32"/>
          <w:shd w:val="clear" w:color="auto" w:fill="FFFFFF"/>
          <w:lang w:val="en-US" w:eastAsia="zh-CN"/>
        </w:rPr>
        <w:t>2、</w:t>
      </w:r>
      <w:r>
        <w:rPr>
          <w:rFonts w:hint="eastAsia" w:ascii="仿宋_GB2312" w:hAnsi="Calibri" w:eastAsia="仿宋_GB2312" w:cs="仿宋_GB2312"/>
          <w:color w:val="333333"/>
          <w:sz w:val="32"/>
          <w:szCs w:val="32"/>
          <w:shd w:val="clear" w:color="auto" w:fill="FFFFFF"/>
        </w:rPr>
        <w:t>针对上年度“</w:t>
      </w:r>
      <w:r>
        <w:rPr>
          <w:rFonts w:ascii="仿宋_GB2312" w:hAnsi="宋体" w:eastAsia="仿宋_GB2312" w:cs="仿宋_GB2312"/>
          <w:color w:val="333333"/>
          <w:sz w:val="32"/>
          <w:szCs w:val="32"/>
          <w:shd w:val="clear" w:color="auto" w:fill="FFFFFF"/>
        </w:rPr>
        <w:t>政府部门领导</w:t>
      </w:r>
      <w:r>
        <w:rPr>
          <w:rFonts w:hint="eastAsia" w:ascii="仿宋_GB2312" w:hAnsi="宋体" w:eastAsia="仿宋_GB2312" w:cs="仿宋_GB2312"/>
          <w:color w:val="000000"/>
          <w:sz w:val="32"/>
          <w:szCs w:val="32"/>
          <w:shd w:val="clear" w:color="auto" w:fill="FFFFFF"/>
        </w:rPr>
        <w:t>、专家等从不同角度对同一重要政策文件进行多次解读较少”的问题，我办邀请部门负责人与专家以新闻发布会形式对政策文件进行解读，并在法定主动公开栏目、新闻发布会专题、政策解读专题发布，扩大宣传面。</w:t>
      </w:r>
    </w:p>
    <w:p>
      <w:pPr>
        <w:pStyle w:val="3"/>
        <w:widowControl/>
        <w:shd w:val="clear" w:color="auto" w:fill="FFFFFF"/>
        <w:spacing w:beforeAutospacing="0" w:afterAutospacing="0" w:line="576" w:lineRule="atLeast"/>
        <w:ind w:firstLine="640"/>
        <w:jc w:val="both"/>
        <w:rPr>
          <w:rFonts w:hint="eastAsia" w:ascii="仿宋_GB2312" w:hAnsi="宋体" w:eastAsia="仿宋_GB2312" w:cs="仿宋_GB2312"/>
          <w:color w:val="000000"/>
          <w:sz w:val="32"/>
          <w:szCs w:val="32"/>
          <w:shd w:val="clear" w:color="auto" w:fill="FFFFFF"/>
        </w:rPr>
      </w:pPr>
      <w:r>
        <w:rPr>
          <w:rFonts w:hint="eastAsia" w:ascii="仿宋_GB2312" w:hAnsi="Calibri" w:eastAsia="仿宋_GB2312" w:cs="仿宋_GB2312"/>
          <w:color w:val="333333"/>
          <w:sz w:val="32"/>
          <w:szCs w:val="32"/>
          <w:shd w:val="clear" w:color="auto" w:fill="FFFFFF"/>
          <w:lang w:eastAsia="zh-CN"/>
        </w:rPr>
        <w:t>（</w:t>
      </w:r>
      <w:r>
        <w:rPr>
          <w:rFonts w:hint="eastAsia" w:ascii="仿宋_GB2312" w:hAnsi="Calibri" w:eastAsia="仿宋_GB2312" w:cs="仿宋_GB2312"/>
          <w:color w:val="333333"/>
          <w:sz w:val="32"/>
          <w:szCs w:val="32"/>
          <w:shd w:val="clear" w:color="auto" w:fill="FFFFFF"/>
          <w:lang w:val="en-US" w:eastAsia="zh-CN"/>
        </w:rPr>
        <w:t>二</w:t>
      </w:r>
      <w:r>
        <w:rPr>
          <w:rFonts w:hint="eastAsia" w:ascii="仿宋_GB2312" w:hAnsi="Calibri" w:eastAsia="仿宋_GB2312" w:cs="仿宋_GB2312"/>
          <w:color w:val="333333"/>
          <w:sz w:val="32"/>
          <w:szCs w:val="32"/>
          <w:shd w:val="clear" w:color="auto" w:fill="FFFFFF"/>
          <w:lang w:eastAsia="zh-CN"/>
        </w:rPr>
        <w:t>）</w:t>
      </w:r>
      <w:r>
        <w:rPr>
          <w:rFonts w:ascii="仿宋_GB2312" w:hAnsi="Calibri" w:eastAsia="仿宋_GB2312" w:cs="仿宋_GB2312"/>
          <w:color w:val="333333"/>
          <w:sz w:val="32"/>
          <w:szCs w:val="32"/>
          <w:shd w:val="clear" w:color="auto" w:fill="FFFFFF"/>
        </w:rPr>
        <w:t>本年度存在的主要问题</w:t>
      </w:r>
    </w:p>
    <w:p>
      <w:pPr>
        <w:pStyle w:val="3"/>
        <w:widowControl/>
        <w:shd w:val="clear" w:color="auto" w:fill="FFFFFF"/>
        <w:spacing w:beforeAutospacing="0" w:afterAutospacing="0" w:line="576" w:lineRule="atLeast"/>
        <w:ind w:firstLine="640"/>
        <w:jc w:val="both"/>
        <w:rPr>
          <w:rFonts w:hint="eastAsia" w:ascii="仿宋_GB2312" w:hAnsi="宋体" w:eastAsia="仿宋_GB2312" w:cs="仿宋_GB2312"/>
          <w:color w:val="000000"/>
          <w:sz w:val="32"/>
          <w:szCs w:val="32"/>
          <w:shd w:val="clear" w:color="auto" w:fill="FFFFFF"/>
          <w:lang w:val="en-US" w:eastAsia="zh-CN"/>
        </w:rPr>
      </w:pPr>
      <w:r>
        <w:rPr>
          <w:rFonts w:hint="eastAsia" w:ascii="仿宋_GB2312" w:hAnsi="宋体" w:eastAsia="仿宋_GB2312" w:cs="仿宋_GB2312"/>
          <w:color w:val="000000"/>
          <w:sz w:val="32"/>
          <w:szCs w:val="32"/>
          <w:shd w:val="clear" w:color="auto" w:fill="FFFFFF"/>
          <w:lang w:val="en-US" w:eastAsia="zh-CN"/>
        </w:rPr>
        <w:t>1、政务公开专区运用不足，2024年度专区虽有开办活动，但活动形式单一，群众参与积极性不高；</w:t>
      </w:r>
    </w:p>
    <w:p>
      <w:pPr>
        <w:pStyle w:val="3"/>
        <w:widowControl/>
        <w:shd w:val="clear" w:color="auto" w:fill="FFFFFF"/>
        <w:spacing w:beforeAutospacing="0" w:afterAutospacing="0" w:line="576" w:lineRule="atLeast"/>
        <w:ind w:firstLine="640"/>
        <w:jc w:val="both"/>
        <w:rPr>
          <w:rFonts w:ascii="仿宋_GB2312" w:hAnsi="Calibri" w:eastAsia="仿宋_GB2312" w:cs="仿宋_GB2312"/>
          <w:color w:val="333333"/>
          <w:sz w:val="32"/>
          <w:szCs w:val="32"/>
          <w:shd w:val="clear" w:color="auto" w:fill="FFFFFF"/>
        </w:rPr>
      </w:pPr>
      <w:r>
        <w:rPr>
          <w:rFonts w:hint="eastAsia" w:ascii="仿宋_GB2312" w:hAnsi="宋体" w:eastAsia="仿宋_GB2312" w:cs="仿宋_GB2312"/>
          <w:color w:val="000000"/>
          <w:sz w:val="32"/>
          <w:szCs w:val="32"/>
          <w:shd w:val="clear" w:color="auto" w:fill="FFFFFF"/>
          <w:lang w:val="en-US" w:eastAsia="zh-CN"/>
        </w:rPr>
        <w:t>2、</w:t>
      </w:r>
      <w:r>
        <w:rPr>
          <w:rFonts w:hint="eastAsia" w:ascii="仿宋_GB2312" w:hAnsi="宋体" w:eastAsia="仿宋_GB2312" w:cs="仿宋_GB2312"/>
          <w:color w:val="000000"/>
          <w:sz w:val="32"/>
          <w:szCs w:val="32"/>
          <w:shd w:val="clear" w:color="auto" w:fill="FFFFFF"/>
        </w:rPr>
        <w:t>本</w:t>
      </w:r>
      <w:r>
        <w:rPr>
          <w:rFonts w:hint="eastAsia" w:ascii="仿宋_GB2312" w:hAnsi="Calibri" w:eastAsia="仿宋_GB2312" w:cs="仿宋_GB2312"/>
          <w:color w:val="333333"/>
          <w:sz w:val="32"/>
          <w:szCs w:val="32"/>
          <w:shd w:val="clear" w:color="auto" w:fill="FFFFFF"/>
        </w:rPr>
        <w:t>年度重大行政决策、规范性文件发布后的执行效果评估信息发布较少。</w:t>
      </w:r>
    </w:p>
    <w:p>
      <w:pPr>
        <w:pStyle w:val="3"/>
        <w:widowControl/>
        <w:shd w:val="clear" w:color="auto" w:fill="FFFFFF"/>
        <w:spacing w:beforeAutospacing="0" w:afterAutospacing="0" w:line="576" w:lineRule="atLeast"/>
        <w:ind w:firstLine="640"/>
        <w:jc w:val="both"/>
        <w:rPr>
          <w:rFonts w:hint="eastAsia" w:ascii="仿宋_GB2312" w:hAnsi="Calibri" w:eastAsia="仿宋_GB2312" w:cs="仿宋_GB2312"/>
          <w:color w:val="333333"/>
          <w:sz w:val="32"/>
          <w:szCs w:val="32"/>
          <w:shd w:val="clear" w:color="auto" w:fill="FFFFFF"/>
        </w:rPr>
      </w:pPr>
      <w:r>
        <w:rPr>
          <w:rFonts w:hint="eastAsia" w:ascii="仿宋_GB2312" w:hAnsi="Calibri" w:eastAsia="仿宋_GB2312" w:cs="仿宋_GB2312"/>
          <w:color w:val="333333"/>
          <w:sz w:val="32"/>
          <w:szCs w:val="32"/>
          <w:shd w:val="clear" w:color="auto" w:fill="FFFFFF"/>
          <w:lang w:eastAsia="zh-CN"/>
        </w:rPr>
        <w:t>（</w:t>
      </w:r>
      <w:r>
        <w:rPr>
          <w:rFonts w:hint="eastAsia" w:ascii="仿宋_GB2312" w:hAnsi="Calibri" w:eastAsia="仿宋_GB2312" w:cs="仿宋_GB2312"/>
          <w:color w:val="333333"/>
          <w:sz w:val="32"/>
          <w:szCs w:val="32"/>
          <w:shd w:val="clear" w:color="auto" w:fill="FFFFFF"/>
          <w:lang w:val="en-US" w:eastAsia="zh-CN"/>
        </w:rPr>
        <w:t>三</w:t>
      </w:r>
      <w:r>
        <w:rPr>
          <w:rFonts w:hint="eastAsia" w:ascii="仿宋_GB2312" w:hAnsi="Calibri" w:eastAsia="仿宋_GB2312" w:cs="仿宋_GB2312"/>
          <w:color w:val="333333"/>
          <w:sz w:val="32"/>
          <w:szCs w:val="32"/>
          <w:shd w:val="clear" w:color="auto" w:fill="FFFFFF"/>
          <w:lang w:eastAsia="zh-CN"/>
        </w:rPr>
        <w:t>）</w:t>
      </w:r>
      <w:r>
        <w:rPr>
          <w:rFonts w:hint="eastAsia" w:ascii="仿宋_GB2312" w:hAnsi="Calibri" w:eastAsia="仿宋_GB2312" w:cs="仿宋_GB2312"/>
          <w:color w:val="333333"/>
          <w:sz w:val="32"/>
          <w:szCs w:val="32"/>
          <w:shd w:val="clear" w:color="auto" w:fill="FFFFFF"/>
        </w:rPr>
        <w:t>下一步改进措施</w:t>
      </w:r>
    </w:p>
    <w:p>
      <w:pPr>
        <w:pStyle w:val="3"/>
        <w:widowControl/>
        <w:shd w:val="clear" w:color="auto" w:fill="FFFFFF"/>
        <w:spacing w:beforeAutospacing="0" w:afterAutospacing="0" w:line="576" w:lineRule="atLeast"/>
        <w:ind w:firstLine="640"/>
        <w:jc w:val="both"/>
        <w:rPr>
          <w:rFonts w:hint="eastAsia" w:ascii="仿宋_GB2312" w:hAnsi="Calibri" w:eastAsia="仿宋_GB2312" w:cs="仿宋_GB2312"/>
          <w:color w:val="333333"/>
          <w:sz w:val="32"/>
          <w:szCs w:val="32"/>
          <w:shd w:val="clear" w:color="auto" w:fill="FFFFFF"/>
        </w:rPr>
      </w:pPr>
      <w:r>
        <w:rPr>
          <w:rFonts w:hint="eastAsia" w:ascii="仿宋_GB2312" w:hAnsi="Calibri" w:eastAsia="仿宋_GB2312" w:cs="仿宋_GB2312"/>
          <w:color w:val="333333"/>
          <w:sz w:val="32"/>
          <w:szCs w:val="32"/>
          <w:shd w:val="clear" w:color="auto" w:fill="FFFFFF"/>
          <w:lang w:val="en-US" w:eastAsia="zh-CN"/>
        </w:rPr>
        <w:t>1、结合医保、教育、就业等群众关心的社会热点精心确定活动主题，前期利用微信、微博、抖音等政务新媒体账做好活动宣传，精心策划活动方案，吸引群众参与</w:t>
      </w:r>
      <w:bookmarkStart w:id="0" w:name="_GoBack"/>
      <w:bookmarkEnd w:id="0"/>
      <w:r>
        <w:rPr>
          <w:rFonts w:hint="eastAsia" w:ascii="仿宋_GB2312" w:hAnsi="Calibri" w:eastAsia="仿宋_GB2312" w:cs="仿宋_GB2312"/>
          <w:color w:val="333333"/>
          <w:sz w:val="32"/>
          <w:szCs w:val="32"/>
          <w:shd w:val="clear" w:color="auto" w:fill="FFFFFF"/>
          <w:lang w:val="en-US" w:eastAsia="zh-CN"/>
        </w:rPr>
        <w:t>；</w:t>
      </w:r>
    </w:p>
    <w:p>
      <w:pPr>
        <w:pStyle w:val="3"/>
        <w:widowControl/>
        <w:numPr>
          <w:ilvl w:val="0"/>
          <w:numId w:val="0"/>
        </w:numPr>
        <w:shd w:val="clear" w:color="auto" w:fill="FFFFFF"/>
        <w:spacing w:beforeAutospacing="0" w:afterAutospacing="0" w:line="576" w:lineRule="atLeast"/>
        <w:ind w:firstLine="640" w:firstLineChars="200"/>
        <w:jc w:val="both"/>
        <w:rPr>
          <w:rFonts w:hint="eastAsia" w:ascii="仿宋_GB2312" w:hAnsi="Calibri" w:eastAsia="仿宋_GB2312" w:cs="仿宋_GB2312"/>
          <w:color w:val="333333"/>
          <w:sz w:val="32"/>
          <w:szCs w:val="32"/>
          <w:shd w:val="clear" w:color="auto" w:fill="FFFFFF"/>
        </w:rPr>
      </w:pPr>
      <w:r>
        <w:rPr>
          <w:rFonts w:hint="eastAsia" w:ascii="仿宋_GB2312" w:hAnsi="Calibri" w:eastAsia="仿宋_GB2312" w:cs="仿宋_GB2312"/>
          <w:color w:val="333333"/>
          <w:sz w:val="32"/>
          <w:szCs w:val="32"/>
          <w:shd w:val="clear" w:color="auto" w:fill="FFFFFF"/>
          <w:lang w:val="en-US" w:eastAsia="zh-CN"/>
        </w:rPr>
        <w:t>2、明确评估计划，在重大行政村决策和规范性文件发布后做好跟踪反馈，利用座谈会、问卷调查等畅通评估渠道，广泛收集各方建议意见。</w:t>
      </w:r>
    </w:p>
    <w:p>
      <w:pPr>
        <w:pStyle w:val="3"/>
        <w:widowControl/>
        <w:shd w:val="clear" w:color="auto" w:fill="FFFFFF"/>
        <w:spacing w:beforeAutospacing="0" w:afterAutospacing="0"/>
        <w:ind w:firstLine="640"/>
        <w:jc w:val="both"/>
        <w:rPr>
          <w:rFonts w:ascii="黑体" w:hAnsi="宋体" w:eastAsia="黑体" w:cs="黑体"/>
          <w:color w:val="333333"/>
          <w:sz w:val="32"/>
          <w:szCs w:val="32"/>
          <w:shd w:val="clear" w:color="auto" w:fill="FFFFFF"/>
        </w:rPr>
      </w:pPr>
      <w:r>
        <w:rPr>
          <w:rFonts w:hint="eastAsia" w:ascii="黑体" w:hAnsi="宋体" w:eastAsia="黑体" w:cs="黑体"/>
          <w:color w:val="333333"/>
          <w:sz w:val="32"/>
          <w:szCs w:val="32"/>
          <w:shd w:val="clear" w:color="auto" w:fill="FFFFFF"/>
        </w:rPr>
        <w:t>六、其他需要报告的事项</w:t>
      </w:r>
    </w:p>
    <w:p>
      <w:pPr>
        <w:ind w:firstLine="640" w:firstLineChars="200"/>
        <w:rPr>
          <w:rFonts w:ascii="仿宋_GB2312" w:hAnsi="Calibri" w:eastAsia="仿宋_GB2312" w:cs="仿宋_GB2312"/>
          <w:color w:val="333333"/>
          <w:kern w:val="0"/>
          <w:sz w:val="32"/>
          <w:szCs w:val="32"/>
          <w:shd w:val="clear" w:color="auto" w:fill="FFFFFF"/>
        </w:rPr>
      </w:pPr>
      <w:r>
        <w:rPr>
          <w:rFonts w:hint="eastAsia" w:ascii="仿宋_GB2312" w:hAnsi="Calibri" w:eastAsia="仿宋_GB2312" w:cs="仿宋_GB2312"/>
          <w:color w:val="333333"/>
          <w:kern w:val="0"/>
          <w:sz w:val="32"/>
          <w:szCs w:val="32"/>
          <w:shd w:val="clear" w:color="auto" w:fill="FFFFFF"/>
        </w:rPr>
        <w:t>按照《国务院办公厅关于印发〈政府信息公开信息处理费管理办法〉的通知》（国办函〔2020〕109号）规定的按件、按量收费标准，本年度没有产生信息公开处理费。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0D669"/>
    <w:multiLevelType w:val="singleLevel"/>
    <w:tmpl w:val="6780D6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B11235"/>
    <w:rsid w:val="003C4429"/>
    <w:rsid w:val="004D6343"/>
    <w:rsid w:val="005E4CD7"/>
    <w:rsid w:val="00B42497"/>
    <w:rsid w:val="00DF0350"/>
    <w:rsid w:val="00DF68D1"/>
    <w:rsid w:val="00E705AA"/>
    <w:rsid w:val="00EB24D4"/>
    <w:rsid w:val="00EC2418"/>
    <w:rsid w:val="00F12D24"/>
    <w:rsid w:val="08744E7A"/>
    <w:rsid w:val="11247EC3"/>
    <w:rsid w:val="16606F0E"/>
    <w:rsid w:val="18225423"/>
    <w:rsid w:val="1A8410DF"/>
    <w:rsid w:val="339B7356"/>
    <w:rsid w:val="40143061"/>
    <w:rsid w:val="43BB3A22"/>
    <w:rsid w:val="44460282"/>
    <w:rsid w:val="4F1C5001"/>
    <w:rsid w:val="51B11235"/>
    <w:rsid w:val="537C123B"/>
    <w:rsid w:val="5BEA5FFF"/>
    <w:rsid w:val="6E09422F"/>
    <w:rsid w:val="6EE810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477</Words>
  <Characters>2722</Characters>
  <Lines>22</Lines>
  <Paragraphs>6</Paragraphs>
  <ScaleCrop>false</ScaleCrop>
  <LinksUpToDate>false</LinksUpToDate>
  <CharactersWithSpaces>3193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2025-01-10T06:34:00Z</dcterms:created>
  <dc:creator>周圆圆</dc:creator>
  <cp:lastModifiedBy>周圆圆</cp:lastModifiedBy>
  <dcterms:modified xsi:type="dcterms:W3CDTF">2025-01-10T08:29:01Z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