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2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或者由全国注册建筑师营理委员会或者省、自治区、直辖市注册建筑师管理委员会吊销注册建筑师证书。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5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3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9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9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1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80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8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8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31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3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28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《建筑工程抗震管理条例》第四十二条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《建筑工程抗震管理条例》第四十三条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《建筑工程抗震管理条例》第四十六条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8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2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5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834"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7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7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2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违法法律、法规规定，擅自预售商品房的，责令停止违法行为，没收违法所得；收取预付款的，可以并处已收取的预付款1%以下的罚款；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bookmarkStart w:id="19" w:name="_GoBack"/>
            <w:bookmarkEnd w:id="19"/>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pPr>
              <w:widowControl/>
              <w:snapToGrid w:val="0"/>
              <w:spacing w:line="240" w:lineRule="exact"/>
              <w:rPr>
                <w:rFonts w:ascii="仿宋_GB2312" w:hAnsi="宋体" w:eastAsia="仿宋_GB2312"/>
                <w:color w:val="000000" w:themeColor="text1"/>
                <w:szCs w:val="21"/>
                <w14:textFill>
                  <w14:solidFill>
                    <w14:schemeClr w14:val="tx1"/>
                  </w14:solidFill>
                </w14:textFill>
              </w:rPr>
            </w:pPr>
          </w:p>
          <w:p>
            <w:pPr>
              <w:widowControl/>
              <w:snapToGrid w:val="0"/>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第一款第二项</w:t>
            </w:r>
          </w:p>
          <w:p>
            <w:pPr>
              <w:widowControl/>
              <w:snapToGrid w:val="0"/>
              <w:spacing w:line="24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w:t>
            </w:r>
            <w:r>
              <w:rPr>
                <w:rFonts w:hint="eastAsia" w:ascii="仿宋_GB2312" w:hAnsi="宋体" w:eastAsia="仿宋_GB2312" w:cs="Times New Roman"/>
                <w:color w:val="000000" w:themeColor="text1"/>
                <w:szCs w:val="21"/>
                <w14:textFill>
                  <w14:solidFill>
                    <w14:schemeClr w14:val="tx1"/>
                  </w14:solidFill>
                </w14:textFill>
              </w:rPr>
              <w:t>物业管理条例》第九十八条</w:t>
            </w:r>
            <w:r>
              <w:rPr>
                <w:rFonts w:hint="eastAsia" w:ascii="仿宋_GB2312" w:hAnsi="宋体" w:eastAsia="仿宋_GB2312" w:cs="Times New Roman"/>
                <w:color w:val="000000" w:themeColor="text1"/>
                <w:kern w:val="0"/>
                <w:szCs w:val="21"/>
                <w14:textFill>
                  <w14:solidFill>
                    <w14:schemeClr w14:val="tx1"/>
                  </w14:solidFill>
                </w14:textFill>
              </w:rPr>
              <w:t>第</w:t>
            </w:r>
            <w:r>
              <w:rPr>
                <w:rFonts w:hint="eastAsia" w:ascii="仿宋_GB2312" w:hAnsi="宋体" w:eastAsia="仿宋_GB2312" w:cs="Times New Roman"/>
                <w:color w:val="000000" w:themeColor="text1"/>
                <w:szCs w:val="21"/>
                <w14:textFill>
                  <w14:solidFill>
                    <w14:schemeClr w14:val="tx1"/>
                  </w14:solidFill>
                </w14:textFill>
              </w:rPr>
              <w:t>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szCs w:val="21"/>
                <w14:textFill>
                  <w14:solidFill>
                    <w14:schemeClr w14:val="tx1"/>
                  </w14:solidFill>
                </w14:textFill>
              </w:rPr>
              <w:t>物业管理区域内禁止下列行为：</w:t>
            </w:r>
          </w:p>
          <w:p>
            <w:pPr>
              <w:widowControl/>
              <w:snapToGrid w:val="0"/>
              <w:spacing w:line="240" w:lineRule="exac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（二）侵占、损坏物业的共用部位、共用设施设备；</w:t>
            </w:r>
          </w:p>
          <w:p>
            <w:pPr>
              <w:widowControl/>
              <w:snapToGrid w:val="0"/>
              <w:spacing w:line="24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widowControl/>
              <w:snapToGrid w:val="0"/>
              <w:spacing w:line="24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widowControl/>
              <w:snapToGrid w:val="0"/>
              <w:spacing w:line="24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责令限期改正，恢复原状，个人处以2千元以上5千元以下罚款，单位处以5万元以上10万元以下罚款。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widowControl/>
              <w:snapToGrid w:val="0"/>
              <w:spacing w:line="240" w:lineRule="exact"/>
              <w:textAlignment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widowControl/>
              <w:snapToGrid w:val="0"/>
              <w:spacing w:line="24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widowControl/>
              <w:snapToGrid w:val="0"/>
              <w:spacing w:line="24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widowControl/>
              <w:snapToGrid w:val="0"/>
              <w:spacing w:line="24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责令限期改正，恢复原状，个人处以5千元以上7千元以下罚款，单位处以10万元以上15万元以下罚款。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widowControl/>
              <w:snapToGrid w:val="0"/>
              <w:spacing w:line="24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widowControl/>
              <w:snapToGrid w:val="0"/>
              <w:spacing w:line="24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责令限期改正，恢复原状，个人处以7千元以上1万元以下罚款，单位处以15万元以上20万元以下罚款。</w:t>
            </w:r>
          </w:p>
          <w:p>
            <w:pPr>
              <w:widowControl/>
              <w:snapToGrid w:val="0"/>
              <w:spacing w:line="24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不为本单位职工办理住房公积金帐户设立手续的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（1）曾因实施该违法行为被查处，再次实施该违法行为的；（2）对水环境造成影响的的；（3）造成不良社会影响的。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pPr>
        <w:widowControl/>
        <w:spacing w:line="240" w:lineRule="auto"/>
        <w:rPr>
          <w:rFonts w:ascii="仿宋_GB2312" w:hAnsi="宋体" w:eastAsia="仿宋_GB2312"/>
          <w:color w:val="000000" w:themeColor="text1"/>
          <w:szCs w:val="21"/>
          <w14:textFill>
            <w14:solidFill>
              <w14:schemeClr w14:val="tx1"/>
            </w14:solidFill>
          </w14:textFill>
        </w:rPr>
      </w:pPr>
    </w:p>
    <w:p>
      <w:pPr>
        <w:spacing w:line="240" w:lineRule="auto"/>
        <w:rPr>
          <w:color w:val="000000" w:themeColor="text1"/>
          <w14:textFill>
            <w14:solidFill>
              <w14:schemeClr w14:val="tx1"/>
            </w14:solidFill>
          </w14:textFill>
        </w:rPr>
      </w:pPr>
    </w:p>
    <w:p>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简体">
    <w:altName w:val="方正书宋_GBK"/>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ZjFiMzAyMmE1N2Y4YTI2ZWYwMDgwMTYyMmRhYjk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FBF827C"/>
    <w:rsid w:val="20425255"/>
    <w:rsid w:val="2D9C0E9E"/>
    <w:rsid w:val="2FB72EAF"/>
    <w:rsid w:val="2FEFD766"/>
    <w:rsid w:val="37FB9FBC"/>
    <w:rsid w:val="3F92DDB7"/>
    <w:rsid w:val="46E03886"/>
    <w:rsid w:val="49A60BF4"/>
    <w:rsid w:val="52A7B600"/>
    <w:rsid w:val="55441D01"/>
    <w:rsid w:val="79E7746A"/>
    <w:rsid w:val="7CB64017"/>
    <w:rsid w:val="7EFEF607"/>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860</Pages>
  <Words>48009</Words>
  <Characters>273657</Characters>
  <Lines>2280</Lines>
  <Paragraphs>642</Paragraphs>
  <TotalTime>1</TotalTime>
  <ScaleCrop>false</ScaleCrop>
  <LinksUpToDate>false</LinksUpToDate>
  <CharactersWithSpaces>321024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2023-12-13T11:05:00Z</dcterms:created>
  <dc:creator>Ma</dc:creator>
  <cp:lastModifiedBy>administrator</cp:lastModifiedBy>
  <cp:lastPrinted>2023-12-21T09:18:00Z</cp:lastPrinted>
  <dcterms:modified xsi:type="dcterms:W3CDTF">2024-06-18T08:21:17Z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48005148DDC24DEDA8145612CC66E84F_12</vt:lpwstr>
  </property>
</Properties>
</file>