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Cs w:val="32"/>
        </w:rPr>
      </w:pPr>
      <w:bookmarkStart w:id="0" w:name="_GoBack"/>
    </w:p>
    <w:p>
      <w:pPr>
        <w:jc w:val="center"/>
        <w:rPr>
          <w:szCs w:val="32"/>
        </w:rPr>
      </w:pPr>
    </w:p>
    <w:p>
      <w:pPr>
        <w:jc w:val="center"/>
        <w:rPr>
          <w:szCs w:val="32"/>
        </w:rPr>
      </w:pPr>
    </w:p>
    <w:p>
      <w:pPr>
        <w:jc w:val="center"/>
        <w:rPr>
          <w:rFonts w:eastAsia="方正小标宋简体"/>
          <w:w w:val="90"/>
          <w:sz w:val="44"/>
          <w:szCs w:val="44"/>
        </w:rPr>
      </w:pPr>
    </w:p>
    <w:p>
      <w:pPr>
        <w:jc w:val="center"/>
        <w:rPr>
          <w:rFonts w:eastAsia="方正小标宋简体"/>
          <w:w w:val="90"/>
          <w:sz w:val="44"/>
          <w:szCs w:val="44"/>
        </w:rPr>
      </w:pPr>
    </w:p>
    <w:p>
      <w:pPr>
        <w:jc w:val="center"/>
        <w:rPr>
          <w:rFonts w:eastAsia="方正小标宋简体"/>
          <w:w w:val="90"/>
          <w:sz w:val="44"/>
          <w:szCs w:val="44"/>
        </w:rPr>
      </w:pPr>
    </w:p>
    <w:p>
      <w:pPr>
        <w:pStyle w:val="2"/>
        <w:jc w:val="center"/>
        <w:rPr>
          <w:rFonts w:ascii="Times New Roman"/>
        </w:rPr>
      </w:pPr>
    </w:p>
    <w:p>
      <w:pPr>
        <w:jc w:val="center"/>
        <w:rPr>
          <w:szCs w:val="32"/>
        </w:rPr>
      </w:pPr>
    </w:p>
    <w:p>
      <w:pPr>
        <w:ind w:left="316" w:leftChars="100" w:right="316" w:rightChars="100"/>
        <w:jc w:val="center"/>
        <w:rPr>
          <w:rFonts w:eastAsia="华文仿宋"/>
          <w:szCs w:val="32"/>
        </w:rPr>
      </w:pPr>
      <w:r>
        <w:rPr>
          <w:rFonts w:eastAsia="华文仿宋"/>
          <w:szCs w:val="32"/>
        </w:rPr>
        <w:t>叶医保〔202</w:t>
      </w:r>
      <w:r>
        <w:rPr>
          <w:rFonts w:hint="eastAsia" w:eastAsia="华文仿宋"/>
          <w:szCs w:val="32"/>
        </w:rPr>
        <w:t>4</w:t>
      </w:r>
      <w:r>
        <w:rPr>
          <w:rFonts w:eastAsia="华文仿宋"/>
          <w:szCs w:val="32"/>
        </w:rPr>
        <w:t>〕</w:t>
      </w:r>
      <w:r>
        <w:rPr>
          <w:rFonts w:hint="eastAsia" w:eastAsia="华文仿宋"/>
          <w:szCs w:val="32"/>
        </w:rPr>
        <w:t>13</w:t>
      </w:r>
      <w:r>
        <w:rPr>
          <w:rFonts w:eastAsia="华文仿宋"/>
          <w:szCs w:val="32"/>
        </w:rPr>
        <w:t>号</w:t>
      </w:r>
    </w:p>
    <w:p>
      <w:pPr>
        <w:spacing w:line="576" w:lineRule="exact"/>
        <w:jc w:val="center"/>
        <w:rPr>
          <w:rFonts w:eastAsia="方正小标宋简体"/>
          <w:w w:val="90"/>
          <w:sz w:val="44"/>
          <w:szCs w:val="44"/>
        </w:rPr>
      </w:pPr>
    </w:p>
    <w:p>
      <w:pPr>
        <w:spacing w:line="576" w:lineRule="exact"/>
        <w:jc w:val="center"/>
        <w:rPr>
          <w:rFonts w:eastAsia="方正小标宋简体"/>
          <w:w w:val="90"/>
          <w:sz w:val="44"/>
          <w:szCs w:val="44"/>
        </w:rPr>
      </w:pPr>
    </w:p>
    <w:p>
      <w:pPr>
        <w:spacing w:line="540" w:lineRule="exact"/>
        <w:jc w:val="center"/>
        <w:rPr>
          <w:rFonts w:eastAsia="方正小标宋简体"/>
          <w:w w:val="70"/>
          <w:kern w:val="0"/>
          <w:sz w:val="44"/>
          <w:szCs w:val="44"/>
        </w:rPr>
      </w:pPr>
      <w:r>
        <w:rPr>
          <w:rFonts w:hint="eastAsia" w:eastAsia="方正小标宋_GBK"/>
          <w:w w:val="70"/>
          <w:sz w:val="44"/>
          <w:szCs w:val="44"/>
        </w:rPr>
        <w:t>六安市叶集区医疗保障局　六安市叶集区卫生健康委员会</w:t>
      </w:r>
      <w:r>
        <w:rPr>
          <w:rFonts w:hint="eastAsia" w:eastAsia="方正小标宋简体"/>
          <w:w w:val="70"/>
          <w:kern w:val="0"/>
          <w:sz w:val="44"/>
          <w:szCs w:val="44"/>
        </w:rPr>
        <w:t>关于印发《六安市叶集区2024年紧密型县域医共体城乡居民</w:t>
      </w:r>
    </w:p>
    <w:p>
      <w:pPr>
        <w:spacing w:line="540" w:lineRule="exact"/>
        <w:jc w:val="center"/>
        <w:rPr>
          <w:rFonts w:eastAsia="方正小标宋简体"/>
          <w:w w:val="70"/>
          <w:kern w:val="0"/>
          <w:sz w:val="44"/>
          <w:szCs w:val="44"/>
        </w:rPr>
      </w:pPr>
      <w:r>
        <w:rPr>
          <w:rFonts w:hint="eastAsia" w:eastAsia="方正小标宋简体"/>
          <w:w w:val="70"/>
          <w:kern w:val="0"/>
          <w:sz w:val="44"/>
          <w:szCs w:val="44"/>
        </w:rPr>
        <w:t>基本医疗保险总额预算基金体内预算</w:t>
      </w:r>
    </w:p>
    <w:p>
      <w:pPr>
        <w:spacing w:line="540" w:lineRule="exact"/>
        <w:jc w:val="center"/>
        <w:rPr>
          <w:rFonts w:eastAsia="方正小标宋简体"/>
          <w:w w:val="70"/>
          <w:kern w:val="0"/>
          <w:sz w:val="44"/>
          <w:szCs w:val="44"/>
        </w:rPr>
      </w:pPr>
      <w:r>
        <w:rPr>
          <w:rFonts w:hint="eastAsia" w:eastAsia="方正小标宋简体"/>
          <w:w w:val="70"/>
          <w:kern w:val="0"/>
          <w:sz w:val="44"/>
          <w:szCs w:val="44"/>
        </w:rPr>
        <w:t>实施方案》的通知</w:t>
      </w:r>
    </w:p>
    <w:p>
      <w:pPr>
        <w:adjustRightInd w:val="0"/>
        <w:snapToGrid w:val="0"/>
        <w:spacing w:line="540" w:lineRule="exact"/>
        <w:jc w:val="center"/>
        <w:rPr>
          <w:rFonts w:eastAsia="方正小标宋简体"/>
          <w:kern w:val="0"/>
          <w:sz w:val="44"/>
          <w:szCs w:val="44"/>
        </w:rPr>
      </w:pPr>
    </w:p>
    <w:p>
      <w:pPr>
        <w:spacing w:line="440" w:lineRule="exact"/>
        <w:rPr>
          <w:rFonts w:eastAsia="楷体_GB2312"/>
          <w:szCs w:val="32"/>
        </w:rPr>
      </w:pPr>
      <w:r>
        <w:rPr>
          <w:rFonts w:hint="eastAsia" w:eastAsia="楷体_GB2312"/>
          <w:szCs w:val="32"/>
          <w:lang w:val="en-US" w:eastAsia="zh-CN"/>
        </w:rPr>
        <w:t>各定点医疗机构</w:t>
      </w:r>
      <w:r>
        <w:rPr>
          <w:rFonts w:eastAsia="楷体_GB2312"/>
          <w:szCs w:val="32"/>
        </w:rPr>
        <w:t>：</w:t>
      </w:r>
    </w:p>
    <w:p>
      <w:pPr>
        <w:spacing w:line="440" w:lineRule="exact"/>
        <w:ind w:firstLine="632" w:firstLineChars="200"/>
        <w:rPr>
          <w:rFonts w:eastAsia="楷体_GB2312"/>
          <w:szCs w:val="32"/>
        </w:rPr>
      </w:pPr>
      <w:r>
        <w:rPr>
          <w:rFonts w:eastAsia="楷体_GB2312"/>
          <w:szCs w:val="32"/>
        </w:rPr>
        <w:t>现将《六安市叶集区2024年紧密型县域医共体城乡居民基本医疗保险总额预算基金体内预算实施方案》印发给你们，请认真贯彻落实。</w:t>
      </w:r>
    </w:p>
    <w:p>
      <w:pPr>
        <w:spacing w:line="440" w:lineRule="exact"/>
        <w:ind w:firstLine="632" w:firstLineChars="200"/>
        <w:rPr>
          <w:rFonts w:eastAsia="楷体_GB2312"/>
          <w:szCs w:val="32"/>
        </w:rPr>
      </w:pPr>
    </w:p>
    <w:p>
      <w:pPr>
        <w:spacing w:line="440" w:lineRule="exact"/>
        <w:ind w:firstLine="632" w:firstLineChars="200"/>
        <w:rPr>
          <w:rFonts w:eastAsia="楷体_GB2312"/>
          <w:szCs w:val="32"/>
        </w:rPr>
      </w:pPr>
    </w:p>
    <w:p>
      <w:pPr>
        <w:spacing w:line="440" w:lineRule="exact"/>
        <w:rPr>
          <w:rFonts w:eastAsia="楷体_GB2312"/>
          <w:szCs w:val="32"/>
        </w:rPr>
      </w:pPr>
      <w:r>
        <w:rPr>
          <w:rFonts w:eastAsia="楷体_GB2312"/>
          <w:szCs w:val="32"/>
        </w:rPr>
        <w:t>六安市叶集区医疗保障局　　　　六安市叶集区卫生健康委员会</w:t>
      </w:r>
    </w:p>
    <w:p>
      <w:pPr>
        <w:spacing w:line="440" w:lineRule="exact"/>
        <w:ind w:right="632" w:rightChars="200" w:firstLine="632" w:firstLineChars="200"/>
        <w:jc w:val="right"/>
        <w:rPr>
          <w:rFonts w:eastAsia="方正小标宋_GBK"/>
          <w:w w:val="90"/>
          <w:sz w:val="44"/>
          <w:szCs w:val="44"/>
        </w:rPr>
      </w:pPr>
      <w:r>
        <w:rPr>
          <w:rFonts w:eastAsia="楷体_GB2312"/>
          <w:szCs w:val="32"/>
        </w:rPr>
        <w:t>2024年5月23日</w:t>
      </w:r>
      <w:r>
        <w:rPr>
          <w:rFonts w:eastAsia="方正小标宋_GBK"/>
          <w:w w:val="90"/>
          <w:sz w:val="44"/>
          <w:szCs w:val="44"/>
        </w:rPr>
        <w:br w:type="page"/>
      </w:r>
    </w:p>
    <w:p>
      <w:pPr>
        <w:spacing w:line="640" w:lineRule="exact"/>
        <w:jc w:val="center"/>
        <w:rPr>
          <w:rFonts w:eastAsia="方正小标宋_GBK"/>
          <w:w w:val="90"/>
          <w:sz w:val="44"/>
          <w:szCs w:val="44"/>
        </w:rPr>
      </w:pPr>
      <w:r>
        <w:rPr>
          <w:rFonts w:hint="eastAsia" w:eastAsia="方正小标宋_GBK"/>
          <w:w w:val="90"/>
          <w:sz w:val="44"/>
          <w:szCs w:val="44"/>
        </w:rPr>
        <w:t>六安市叶集区2024年紧密型县域医共体城乡居民</w:t>
      </w:r>
    </w:p>
    <w:p>
      <w:pPr>
        <w:spacing w:line="640" w:lineRule="exact"/>
        <w:jc w:val="center"/>
        <w:rPr>
          <w:rFonts w:eastAsia="方正小标宋_GBK"/>
          <w:w w:val="90"/>
          <w:sz w:val="44"/>
          <w:szCs w:val="44"/>
        </w:rPr>
      </w:pPr>
      <w:r>
        <w:rPr>
          <w:rFonts w:hint="eastAsia" w:eastAsia="方正小标宋_GBK"/>
          <w:w w:val="90"/>
          <w:sz w:val="44"/>
          <w:szCs w:val="44"/>
        </w:rPr>
        <w:t>基本医疗保险总额预算基金体内预算实施方案</w:t>
      </w:r>
    </w:p>
    <w:p>
      <w:pPr>
        <w:spacing w:line="576" w:lineRule="exact"/>
        <w:jc w:val="center"/>
      </w:pPr>
    </w:p>
    <w:p>
      <w:pPr>
        <w:spacing w:line="576" w:lineRule="exact"/>
        <w:ind w:firstLine="632" w:firstLineChars="200"/>
      </w:pPr>
      <w:r>
        <w:rPr>
          <w:rFonts w:hint="eastAsia"/>
        </w:rPr>
        <w:t>为深入推进紧密型县域医共体建设，进一步贯彻落实《安徽省人民政府办公厅关于推进紧密型县域医共体建设的意见》（皖政办〔2019〕15号）《关于印发&lt;六安市城乡居民医保基金对紧密型县域医共体按人头包干预算管理办法&gt;的通知》（六医保〔2024〕7号）《六安市2024年城乡居民基本医疗保险医保费用总额控制实施方案》（六医保〔2024〕11号）和《六安市叶集区人民政府办公室关于印发&lt;六安市叶集区优化医保基金运行管理的若干举措&gt;的通知》（叶政办〔2024〕9号）精神，健全医保基金稳健运行机制，加强基金运行管理，提高基金使用绩效，结合我区实际，制定本方案。</w:t>
      </w:r>
    </w:p>
    <w:p>
      <w:pPr>
        <w:spacing w:line="576" w:lineRule="exact"/>
        <w:ind w:firstLine="632" w:firstLineChars="200"/>
        <w:rPr>
          <w:rFonts w:eastAsia="黑体"/>
        </w:rPr>
      </w:pPr>
      <w:r>
        <w:rPr>
          <w:rFonts w:hint="eastAsia" w:eastAsia="黑体"/>
        </w:rPr>
        <w:t>一、基金预算及拨付</w:t>
      </w:r>
    </w:p>
    <w:p>
      <w:pPr>
        <w:spacing w:line="576" w:lineRule="exact"/>
        <w:ind w:firstLine="632" w:firstLineChars="200"/>
      </w:pPr>
      <w:r>
        <w:rPr>
          <w:rFonts w:hint="eastAsia" w:eastAsia="楷体_GB2312"/>
        </w:rPr>
        <w:t>（一）总额预算。</w:t>
      </w:r>
      <w:r>
        <w:rPr>
          <w:rFonts w:hint="eastAsia"/>
        </w:rPr>
        <w:t>按年初城乡居民实际参保人数和当年筹资标准确定筹资总额，扣除增量基金风险金（与上一年相比筹资增量10%）、大病保险（含意外伤害保险）基金和国家、省规定的项目基金后将基金97%部分作为医共体按人头总额包干基金预算，交由医共体包干使用。</w:t>
      </w:r>
    </w:p>
    <w:p>
      <w:pPr>
        <w:spacing w:line="576" w:lineRule="exact"/>
        <w:ind w:firstLine="632" w:firstLineChars="200"/>
      </w:pPr>
      <w:r>
        <w:rPr>
          <w:rFonts w:hint="eastAsia" w:eastAsia="楷体_GB2312"/>
        </w:rPr>
        <w:t>（二）体内预算</w:t>
      </w:r>
      <w:r>
        <w:rPr>
          <w:rFonts w:hint="eastAsia"/>
        </w:rPr>
        <w:t>。区医共体扣除按人头总额包干基金预算总额的3%作为预留金后，根据各乡镇街参保城乡居民前三年度医保基金实际支付金额作为参考来分配当年度预算资金总额，并报区医保局和区卫健委备案。</w:t>
      </w:r>
    </w:p>
    <w:p>
      <w:pPr>
        <w:spacing w:line="576" w:lineRule="exact"/>
        <w:ind w:firstLine="632" w:firstLineChars="200"/>
      </w:pPr>
      <w:r>
        <w:rPr>
          <w:rFonts w:hint="eastAsia" w:eastAsia="楷体_GB2312"/>
        </w:rPr>
        <w:t>（三）基金预付。</w:t>
      </w:r>
      <w:r>
        <w:rPr>
          <w:rFonts w:hint="eastAsia"/>
        </w:rPr>
        <w:t>区医保经办机构每月预付总额预算基金至区医共体牵头医院；牵头医院按比例拨付至医共体成员单位，其中，对体内预算出现超支的乡镇街，按比例扣除后预付。</w:t>
      </w:r>
    </w:p>
    <w:p>
      <w:pPr>
        <w:spacing w:line="576" w:lineRule="exact"/>
        <w:ind w:firstLine="632" w:firstLineChars="200"/>
        <w:rPr>
          <w:rFonts w:eastAsia="黑体"/>
        </w:rPr>
      </w:pPr>
      <w:r>
        <w:rPr>
          <w:rFonts w:hint="eastAsia" w:eastAsia="黑体"/>
        </w:rPr>
        <w:t>二、基金清算</w:t>
      </w:r>
    </w:p>
    <w:p>
      <w:pPr>
        <w:spacing w:line="576" w:lineRule="exact"/>
        <w:ind w:firstLine="632" w:firstLineChars="200"/>
      </w:pPr>
      <w:r>
        <w:rPr>
          <w:rFonts w:hint="eastAsia"/>
        </w:rPr>
        <w:t xml:space="preserve">区医共体牵头医院在医共体总额预算基金年终清算完成后，根据考核结果进行考核清算，考核方案另行制定。  </w:t>
      </w:r>
    </w:p>
    <w:p>
      <w:pPr>
        <w:spacing w:line="576" w:lineRule="exact"/>
        <w:ind w:firstLine="632" w:firstLineChars="200"/>
      </w:pPr>
      <w:r>
        <w:rPr>
          <w:rFonts w:hint="eastAsia" w:eastAsia="楷体_GB2312"/>
        </w:rPr>
        <w:t>（一）体内预算基金结余部分。</w:t>
      </w:r>
      <w:r>
        <w:rPr>
          <w:rFonts w:hint="eastAsia"/>
        </w:rPr>
        <w:t>以考核实际得分为百分比分配结余基金，剩余部分纳入医共体总额包干决算。结余资金在区医共体牵头医院、各乡镇卫生院（街道社区卫生服务中心）和村卫生室（社区卫生服务中心）原则上按3:6:1比例分配，区医共体内其他医疗机构不参与结余分配。</w:t>
      </w:r>
    </w:p>
    <w:p>
      <w:pPr>
        <w:spacing w:line="576" w:lineRule="exact"/>
        <w:ind w:firstLine="632" w:firstLineChars="200"/>
      </w:pPr>
      <w:r>
        <w:rPr>
          <w:rFonts w:hint="eastAsia" w:eastAsia="楷体_GB2312"/>
        </w:rPr>
        <w:t>（二）体内预算基金超支部分。</w:t>
      </w:r>
      <w:r>
        <w:rPr>
          <w:rFonts w:hint="eastAsia"/>
        </w:rPr>
        <w:t>体内预算超支部分由区医共体牵头医院和各乡镇卫生院（街道社区卫生服务中心）原则上按照4:6比例分摊，超支部分从下年度体内预算基金直接扣除。区医共体内其他医疗机构不分担。</w:t>
      </w:r>
    </w:p>
    <w:p>
      <w:pPr>
        <w:spacing w:line="576" w:lineRule="exact"/>
        <w:ind w:firstLine="632" w:firstLineChars="200"/>
        <w:rPr>
          <w:rFonts w:eastAsia="黑体"/>
        </w:rPr>
      </w:pPr>
      <w:r>
        <w:rPr>
          <w:rFonts w:hint="eastAsia" w:eastAsia="黑体"/>
        </w:rPr>
        <w:t>三、有关要求</w:t>
      </w:r>
    </w:p>
    <w:p>
      <w:pPr>
        <w:spacing w:line="576" w:lineRule="exact"/>
        <w:ind w:firstLine="632" w:firstLineChars="200"/>
      </w:pPr>
      <w:r>
        <w:rPr>
          <w:rFonts w:hint="eastAsia"/>
        </w:rPr>
        <w:t>一是医共体牵头医院要进一步完善分级诊疗机制，加快形成基层首诊、双向转诊、急慢分治，上下联动工作格局。要严格执行医保基金内控制度，定期分析医共体包干基金运行情况。</w:t>
      </w:r>
    </w:p>
    <w:p>
      <w:pPr>
        <w:spacing w:line="576" w:lineRule="exact"/>
        <w:ind w:firstLine="632" w:firstLineChars="200"/>
      </w:pPr>
      <w:r>
        <w:rPr>
          <w:rFonts w:hint="eastAsia"/>
        </w:rPr>
        <w:t xml:space="preserve">二是医共体牵头医院和各成员单位要认真贯彻落实国家和省市区医保政策，做好参保群众就医结算工作，切实保障参保群众利益。严格遵守医疗保障相关法律法规和规章制度，积极配合区医保基金监管机构开展日常检查、飞行检查和病例评审等工作，打击各类欺诈骗保行为。 </w:t>
      </w:r>
    </w:p>
    <w:p>
      <w:pPr>
        <w:spacing w:line="576" w:lineRule="exact"/>
        <w:ind w:firstLine="632" w:firstLineChars="200"/>
      </w:pPr>
      <w:r>
        <w:rPr>
          <w:rFonts w:hint="eastAsia"/>
        </w:rPr>
        <w:t>三是区直有关部门要加强绩效考核严格兑现奖惩。定期对医共体和体内预算执行情况进行考核，实行月通报、季调度，加强结果运用，严格兑现奖惩，将考核得分作为医院领导班子、医务人员、村医的月度绩效和年终绩效分配系数，并与公卫资金、其他专项资金分配挂钩。</w:t>
      </w:r>
    </w:p>
    <w:p>
      <w:pPr>
        <w:spacing w:line="576" w:lineRule="exact"/>
        <w:ind w:firstLine="632" w:firstLineChars="200"/>
      </w:pPr>
      <w:r>
        <w:rPr>
          <w:rFonts w:hint="eastAsia"/>
        </w:rPr>
        <w:t>本方案适用于2024年紧密型县域医共体城乡居民基本医疗保险总额预算基金体内预算，如与上级规定不一致的，按照其规定执行。</w:t>
      </w:r>
    </w:p>
    <w:tbl>
      <w:tblPr>
        <w:tblStyle w:val="5"/>
        <w:tblpPr w:leftFromText="181" w:rightFromText="181" w:horzAnchor="margin" w:tblpYSpec="bottom"/>
        <w:tblW w:w="0" w:type="auto"/>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9060"/>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9060" w:type="dxa"/>
            <w:shd w:val="clear" w:color="auto" w:fill="auto"/>
            <w:vAlign w:val="center"/>
          </w:tcPr>
          <w:p>
            <w:pPr>
              <w:spacing w:line="300" w:lineRule="exact"/>
              <w:ind w:left="316" w:leftChars="100" w:right="316" w:rightChars="100"/>
              <w:rPr>
                <w:sz w:val="28"/>
                <w:szCs w:val="28"/>
              </w:rPr>
            </w:pPr>
            <w:r>
              <w:rPr>
                <w:sz w:val="28"/>
                <w:szCs w:val="28"/>
              </w:rPr>
              <w:t xml:space="preserve">六安市叶集区医疗保障局        </w:t>
            </w:r>
            <w:r>
              <w:rPr>
                <w:rFonts w:hint="eastAsia"/>
                <w:sz w:val="28"/>
                <w:szCs w:val="28"/>
              </w:rPr>
              <w:t xml:space="preserve">   </w:t>
            </w:r>
            <w:r>
              <w:rPr>
                <w:sz w:val="28"/>
                <w:szCs w:val="28"/>
              </w:rPr>
              <w:t xml:space="preserve">   </w:t>
            </w:r>
            <w:r>
              <w:rPr>
                <w:rFonts w:hint="eastAsia"/>
                <w:sz w:val="28"/>
                <w:szCs w:val="28"/>
              </w:rPr>
              <w:t xml:space="preserve">     </w:t>
            </w:r>
            <w:r>
              <w:rPr>
                <w:sz w:val="28"/>
                <w:szCs w:val="28"/>
              </w:rPr>
              <w:t>202</w:t>
            </w:r>
            <w:r>
              <w:rPr>
                <w:rFonts w:hint="eastAsia"/>
                <w:sz w:val="28"/>
                <w:szCs w:val="28"/>
              </w:rPr>
              <w:t>4</w:t>
            </w:r>
            <w:r>
              <w:rPr>
                <w:sz w:val="28"/>
                <w:szCs w:val="28"/>
              </w:rPr>
              <w:t>年</w:t>
            </w:r>
            <w:r>
              <w:rPr>
                <w:rFonts w:hint="eastAsia"/>
                <w:sz w:val="28"/>
                <w:szCs w:val="28"/>
              </w:rPr>
              <w:t>5</w:t>
            </w:r>
            <w:r>
              <w:rPr>
                <w:sz w:val="28"/>
                <w:szCs w:val="28"/>
              </w:rPr>
              <w:t>月</w:t>
            </w:r>
            <w:r>
              <w:rPr>
                <w:rFonts w:hint="eastAsia"/>
                <w:sz w:val="28"/>
                <w:szCs w:val="28"/>
              </w:rPr>
              <w:t>23</w:t>
            </w:r>
            <w:r>
              <w:rPr>
                <w:sz w:val="28"/>
                <w:szCs w:val="28"/>
              </w:rPr>
              <w:t>日印发</w:t>
            </w:r>
          </w:p>
        </w:tc>
      </w:tr>
    </w:tbl>
    <w:p>
      <w:pPr>
        <w:spacing w:line="576" w:lineRule="exact"/>
        <w:ind w:firstLine="632" w:firstLineChars="200"/>
      </w:pPr>
    </w:p>
    <w:bookmarkEnd w:id="0"/>
    <w:sectPr>
      <w:headerReference r:id="rId3" w:type="default"/>
      <w:footerReference r:id="rId5" w:type="default"/>
      <w:headerReference r:id="rId4" w:type="even"/>
      <w:footerReference r:id="rId6" w:type="even"/>
      <w:pgSz w:w="11906" w:h="16838"/>
      <w:pgMar w:top="2098" w:right="1531" w:bottom="1985" w:left="1531" w:header="851" w:footer="1531"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left="320" w:leftChars="100" w:right="320" w:rightChars="100"/>
      <w:rPr>
        <w:rStyle w:val="7"/>
        <w:sz w:val="28"/>
        <w:szCs w:val="28"/>
      </w:rPr>
    </w:pPr>
    <w:r>
      <w:rPr>
        <w:rStyle w:val="7"/>
        <w:rFonts w:hint="eastAsia"/>
        <w:sz w:val="28"/>
        <w:szCs w:val="28"/>
      </w:rPr>
      <w:t>—</w:t>
    </w:r>
    <w:r>
      <w:rPr>
        <w:rStyle w:val="7"/>
        <w:sz w:val="28"/>
        <w:szCs w:val="28"/>
      </w:rPr>
      <w:t xml:space="preserve"> </w:t>
    </w:r>
    <w:r>
      <w:rPr>
        <w:rStyle w:val="7"/>
        <w:sz w:val="28"/>
        <w:szCs w:val="28"/>
      </w:rPr>
      <w:fldChar w:fldCharType="begin"/>
    </w:r>
    <w:r>
      <w:rPr>
        <w:rStyle w:val="7"/>
        <w:sz w:val="28"/>
        <w:szCs w:val="28"/>
      </w:rPr>
      <w:instrText xml:space="preserve">PAGE  </w:instrText>
    </w:r>
    <w:r>
      <w:rPr>
        <w:rStyle w:val="7"/>
        <w:sz w:val="28"/>
        <w:szCs w:val="28"/>
      </w:rPr>
      <w:fldChar w:fldCharType="separate"/>
    </w:r>
    <w:r>
      <w:rPr>
        <w:rStyle w:val="7"/>
        <w:sz w:val="28"/>
        <w:szCs w:val="28"/>
      </w:rPr>
      <w:t>1</w:t>
    </w:r>
    <w:r>
      <w:rPr>
        <w:rStyle w:val="7"/>
        <w:sz w:val="28"/>
        <w:szCs w:val="28"/>
      </w:rPr>
      <w:fldChar w:fldCharType="end"/>
    </w:r>
    <w:r>
      <w:rPr>
        <w:rStyle w:val="7"/>
        <w:sz w:val="28"/>
        <w:szCs w:val="28"/>
      </w:rPr>
      <w:t xml:space="preserve"> </w:t>
    </w:r>
    <w:r>
      <w:rPr>
        <w:rStyle w:val="7"/>
        <w:rFonts w:hint="eastAsia"/>
        <w:sz w:val="28"/>
        <w:szCs w:val="28"/>
      </w:rPr>
      <w:t>—</w: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left="320" w:leftChars="100" w:right="320" w:rightChars="100"/>
      <w:rPr>
        <w:rStyle w:val="7"/>
        <w:sz w:val="28"/>
        <w:szCs w:val="28"/>
      </w:rPr>
    </w:pPr>
    <w:r>
      <w:rPr>
        <w:rStyle w:val="7"/>
        <w:sz w:val="28"/>
        <w:szCs w:val="28"/>
      </w:rPr>
      <w:t xml:space="preserve">— </w:t>
    </w:r>
    <w:r>
      <w:rPr>
        <w:rStyle w:val="7"/>
        <w:sz w:val="28"/>
        <w:szCs w:val="28"/>
      </w:rPr>
      <w:fldChar w:fldCharType="begin"/>
    </w:r>
    <w:r>
      <w:rPr>
        <w:rStyle w:val="7"/>
        <w:sz w:val="28"/>
        <w:szCs w:val="28"/>
      </w:rPr>
      <w:instrText xml:space="preserve">PAGE  </w:instrText>
    </w:r>
    <w:r>
      <w:rPr>
        <w:rStyle w:val="7"/>
        <w:sz w:val="28"/>
        <w:szCs w:val="28"/>
      </w:rPr>
      <w:fldChar w:fldCharType="separate"/>
    </w:r>
    <w:r>
      <w:rPr>
        <w:rStyle w:val="7"/>
        <w:sz w:val="28"/>
        <w:szCs w:val="28"/>
      </w:rPr>
      <w:t>2</w:t>
    </w:r>
    <w:r>
      <w:rPr>
        <w:rStyle w:val="7"/>
        <w:sz w:val="28"/>
        <w:szCs w:val="28"/>
      </w:rPr>
      <w:fldChar w:fldCharType="end"/>
    </w:r>
    <w:r>
      <w:rPr>
        <w:rStyle w:val="7"/>
        <w:sz w:val="28"/>
        <w:szCs w:val="28"/>
      </w:rPr>
      <w:t xml:space="preserve"> —</w: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czMmViYThiMmI5MDM5ZTA4YTk2MjI0YTlmZWVlZWQifQ=="/>
  </w:docVars>
  <w:rsids>
    <w:rsidRoot w:val="00166D55"/>
    <w:rsid w:val="00001035"/>
    <w:rsid w:val="00014D8F"/>
    <w:rsid w:val="00015D07"/>
    <w:rsid w:val="00050339"/>
    <w:rsid w:val="00054BA4"/>
    <w:rsid w:val="00076C20"/>
    <w:rsid w:val="0008542B"/>
    <w:rsid w:val="000901B6"/>
    <w:rsid w:val="00092A2D"/>
    <w:rsid w:val="00094E88"/>
    <w:rsid w:val="00096FC4"/>
    <w:rsid w:val="000A084B"/>
    <w:rsid w:val="000A5A5B"/>
    <w:rsid w:val="000A6EE4"/>
    <w:rsid w:val="000C473C"/>
    <w:rsid w:val="000E78CB"/>
    <w:rsid w:val="000F1906"/>
    <w:rsid w:val="000F385C"/>
    <w:rsid w:val="000F5934"/>
    <w:rsid w:val="00104087"/>
    <w:rsid w:val="0011576A"/>
    <w:rsid w:val="00157218"/>
    <w:rsid w:val="001665F4"/>
    <w:rsid w:val="00166D55"/>
    <w:rsid w:val="00171497"/>
    <w:rsid w:val="00182EF2"/>
    <w:rsid w:val="001929F9"/>
    <w:rsid w:val="00192A9D"/>
    <w:rsid w:val="001A0ECB"/>
    <w:rsid w:val="001A54A7"/>
    <w:rsid w:val="001B1896"/>
    <w:rsid w:val="001D5192"/>
    <w:rsid w:val="001E4C46"/>
    <w:rsid w:val="001F014B"/>
    <w:rsid w:val="002103A4"/>
    <w:rsid w:val="00243D85"/>
    <w:rsid w:val="00262851"/>
    <w:rsid w:val="00277E98"/>
    <w:rsid w:val="00283BC1"/>
    <w:rsid w:val="00285CB3"/>
    <w:rsid w:val="00292B9B"/>
    <w:rsid w:val="002933CE"/>
    <w:rsid w:val="002C1E74"/>
    <w:rsid w:val="002C3B2D"/>
    <w:rsid w:val="002D0209"/>
    <w:rsid w:val="002E456F"/>
    <w:rsid w:val="002E6C2D"/>
    <w:rsid w:val="00301175"/>
    <w:rsid w:val="00316CBF"/>
    <w:rsid w:val="003218BF"/>
    <w:rsid w:val="003523C0"/>
    <w:rsid w:val="00363A0C"/>
    <w:rsid w:val="003B7802"/>
    <w:rsid w:val="003C51F7"/>
    <w:rsid w:val="003D0308"/>
    <w:rsid w:val="003D052A"/>
    <w:rsid w:val="003D787A"/>
    <w:rsid w:val="003E3A6B"/>
    <w:rsid w:val="00404A9D"/>
    <w:rsid w:val="00426655"/>
    <w:rsid w:val="00462034"/>
    <w:rsid w:val="00475464"/>
    <w:rsid w:val="00476AA2"/>
    <w:rsid w:val="004910B6"/>
    <w:rsid w:val="004A3E49"/>
    <w:rsid w:val="004B0C3F"/>
    <w:rsid w:val="004B3CBF"/>
    <w:rsid w:val="004E601E"/>
    <w:rsid w:val="004E607F"/>
    <w:rsid w:val="00512C35"/>
    <w:rsid w:val="00534728"/>
    <w:rsid w:val="00542EB9"/>
    <w:rsid w:val="00566818"/>
    <w:rsid w:val="005B052F"/>
    <w:rsid w:val="005B63BC"/>
    <w:rsid w:val="005C29B4"/>
    <w:rsid w:val="005E0169"/>
    <w:rsid w:val="00604DA0"/>
    <w:rsid w:val="006122A3"/>
    <w:rsid w:val="00612C6D"/>
    <w:rsid w:val="00637D58"/>
    <w:rsid w:val="006401D4"/>
    <w:rsid w:val="006515D5"/>
    <w:rsid w:val="0065646C"/>
    <w:rsid w:val="0067229B"/>
    <w:rsid w:val="00683DB4"/>
    <w:rsid w:val="006C2FDD"/>
    <w:rsid w:val="006C4212"/>
    <w:rsid w:val="006F6979"/>
    <w:rsid w:val="00710058"/>
    <w:rsid w:val="00740FD8"/>
    <w:rsid w:val="00747F7F"/>
    <w:rsid w:val="00757ADA"/>
    <w:rsid w:val="007658BA"/>
    <w:rsid w:val="007903C1"/>
    <w:rsid w:val="007D4D56"/>
    <w:rsid w:val="00802200"/>
    <w:rsid w:val="00811C13"/>
    <w:rsid w:val="0083468B"/>
    <w:rsid w:val="0083611A"/>
    <w:rsid w:val="00853C69"/>
    <w:rsid w:val="008557BD"/>
    <w:rsid w:val="008672A6"/>
    <w:rsid w:val="00896F1B"/>
    <w:rsid w:val="008A76BA"/>
    <w:rsid w:val="008B2219"/>
    <w:rsid w:val="008C7844"/>
    <w:rsid w:val="008D3437"/>
    <w:rsid w:val="008D3996"/>
    <w:rsid w:val="00920FA0"/>
    <w:rsid w:val="00922910"/>
    <w:rsid w:val="00925AA1"/>
    <w:rsid w:val="00973DC1"/>
    <w:rsid w:val="00980D71"/>
    <w:rsid w:val="00995E70"/>
    <w:rsid w:val="009B0502"/>
    <w:rsid w:val="009B1A4C"/>
    <w:rsid w:val="009C2B96"/>
    <w:rsid w:val="009D5948"/>
    <w:rsid w:val="009E35C1"/>
    <w:rsid w:val="009E4832"/>
    <w:rsid w:val="009F1BD2"/>
    <w:rsid w:val="00A000A6"/>
    <w:rsid w:val="00A02DCE"/>
    <w:rsid w:val="00A2419F"/>
    <w:rsid w:val="00A277E4"/>
    <w:rsid w:val="00A52C45"/>
    <w:rsid w:val="00A70277"/>
    <w:rsid w:val="00A9704D"/>
    <w:rsid w:val="00AA089F"/>
    <w:rsid w:val="00AB1FD4"/>
    <w:rsid w:val="00AD3F8F"/>
    <w:rsid w:val="00AE03E6"/>
    <w:rsid w:val="00B0423D"/>
    <w:rsid w:val="00B14807"/>
    <w:rsid w:val="00B244CD"/>
    <w:rsid w:val="00B266FA"/>
    <w:rsid w:val="00B35DF5"/>
    <w:rsid w:val="00B455CF"/>
    <w:rsid w:val="00B57417"/>
    <w:rsid w:val="00B70004"/>
    <w:rsid w:val="00B72CEA"/>
    <w:rsid w:val="00B93CBC"/>
    <w:rsid w:val="00BA12BC"/>
    <w:rsid w:val="00BA4D1D"/>
    <w:rsid w:val="00BA6DE3"/>
    <w:rsid w:val="00BB22A3"/>
    <w:rsid w:val="00BB5A81"/>
    <w:rsid w:val="00BD21BF"/>
    <w:rsid w:val="00BF693E"/>
    <w:rsid w:val="00C04383"/>
    <w:rsid w:val="00C751D4"/>
    <w:rsid w:val="00C86EF6"/>
    <w:rsid w:val="00C952C2"/>
    <w:rsid w:val="00CA71DE"/>
    <w:rsid w:val="00CB1C9B"/>
    <w:rsid w:val="00D362FD"/>
    <w:rsid w:val="00D36869"/>
    <w:rsid w:val="00D44774"/>
    <w:rsid w:val="00D712E0"/>
    <w:rsid w:val="00D7436E"/>
    <w:rsid w:val="00D74F38"/>
    <w:rsid w:val="00DA263D"/>
    <w:rsid w:val="00DB52A8"/>
    <w:rsid w:val="00DD2E26"/>
    <w:rsid w:val="00E13CD0"/>
    <w:rsid w:val="00E265BA"/>
    <w:rsid w:val="00E344A6"/>
    <w:rsid w:val="00E44D64"/>
    <w:rsid w:val="00E52F48"/>
    <w:rsid w:val="00E63C34"/>
    <w:rsid w:val="00E8148A"/>
    <w:rsid w:val="00E965BF"/>
    <w:rsid w:val="00EA1F7E"/>
    <w:rsid w:val="00EC5B2B"/>
    <w:rsid w:val="00F01348"/>
    <w:rsid w:val="00F10A26"/>
    <w:rsid w:val="00F15637"/>
    <w:rsid w:val="00F25FFC"/>
    <w:rsid w:val="00F37CA4"/>
    <w:rsid w:val="00F70192"/>
    <w:rsid w:val="00FD15BE"/>
    <w:rsid w:val="00FD23B1"/>
    <w:rsid w:val="00FD3717"/>
    <w:rsid w:val="00FD62F7"/>
    <w:rsid w:val="00FF3E03"/>
    <w:rsid w:val="1DFC647B"/>
    <w:rsid w:val="261C3D5A"/>
    <w:rsid w:val="36153A4C"/>
    <w:rsid w:val="5FC93236"/>
    <w:rsid w:val="74A65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Plain Text"/>
    <w:link w:val="12"/>
    <w:autoRedefine/>
    <w:qFormat/>
    <w:uiPriority w:val="0"/>
    <w:pPr>
      <w:widowControl w:val="0"/>
      <w:jc w:val="both"/>
    </w:pPr>
    <w:rPr>
      <w:rFonts w:ascii="宋体" w:hAnsi="Courier New" w:eastAsia="仿宋_GB2312" w:cs="Times New Roman"/>
      <w:kern w:val="2"/>
      <w:sz w:val="21"/>
      <w:szCs w:val="22"/>
      <w:lang w:val="en-US" w:eastAsia="zh-CN" w:bidi="ar-SA"/>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autoRedefine/>
    <w:qFormat/>
    <w:uiPriority w:val="99"/>
  </w:style>
  <w:style w:type="character" w:customStyle="1" w:styleId="8">
    <w:name w:val="页眉 字符"/>
    <w:basedOn w:val="6"/>
    <w:link w:val="4"/>
    <w:autoRedefine/>
    <w:qFormat/>
    <w:uiPriority w:val="99"/>
    <w:rPr>
      <w:sz w:val="18"/>
      <w:szCs w:val="18"/>
    </w:rPr>
  </w:style>
  <w:style w:type="character" w:customStyle="1" w:styleId="9">
    <w:name w:val="页脚 字符"/>
    <w:basedOn w:val="6"/>
    <w:link w:val="3"/>
    <w:autoRedefine/>
    <w:qFormat/>
    <w:uiPriority w:val="99"/>
    <w:rPr>
      <w:sz w:val="18"/>
      <w:szCs w:val="18"/>
    </w:rPr>
  </w:style>
  <w:style w:type="character" w:customStyle="1" w:styleId="10">
    <w:name w:val="b-free-read-leaf"/>
    <w:basedOn w:val="6"/>
    <w:autoRedefine/>
    <w:qFormat/>
    <w:uiPriority w:val="0"/>
  </w:style>
  <w:style w:type="paragraph" w:styleId="11">
    <w:name w:val="List Paragraph"/>
    <w:basedOn w:val="1"/>
    <w:autoRedefine/>
    <w:qFormat/>
    <w:uiPriority w:val="99"/>
    <w:pPr>
      <w:ind w:firstLine="420" w:firstLineChars="200"/>
    </w:pPr>
  </w:style>
  <w:style w:type="character" w:customStyle="1" w:styleId="12">
    <w:name w:val="纯文本 字符"/>
    <w:basedOn w:val="6"/>
    <w:link w:val="2"/>
    <w:autoRedefine/>
    <w:qFormat/>
    <w:uiPriority w:val="0"/>
    <w:rPr>
      <w:rFonts w:ascii="宋体" w:hAnsi="Courier New" w:eastAsia="仿宋_GB2312" w:cs="Times New Roman"/>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1448</Words>
  <Characters>1500</Characters>
  <Lines>11</Lines>
  <Paragraphs>3</Paragraphs>
  <TotalTime>1</TotalTime>
  <ScaleCrop>false</ScaleCrop>
  <LinksUpToDate>false</LinksUpToDate>
  <CharactersWithSpaces>1527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2024-05-23T03:05:00Z</dcterms:created>
  <dc:creator>祖伟 申</dc:creator>
  <cp:lastModifiedBy>木子</cp:lastModifiedBy>
  <cp:lastPrinted>2024-05-15T08:34:00Z</cp:lastPrinted>
  <dcterms:modified xsi:type="dcterms:W3CDTF">2024-05-27T06:39:09Z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ADE59021E0CB45EAAAB7C3049E97840B_13</vt:lpwstr>
  </property>
</Properties>
</file>