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eastAsia="方正小标宋简体"/>
          <w:sz w:val="44"/>
          <w:szCs w:val="44"/>
        </w:rPr>
      </w:pPr>
    </w:p>
    <w:p>
      <w:pPr>
        <w:overflowPunct w:val="0"/>
        <w:jc w:val="center"/>
        <w:rPr>
          <w:rFonts w:eastAsia="方正小标宋简体"/>
          <w:sz w:val="44"/>
          <w:szCs w:val="44"/>
        </w:rPr>
      </w:pPr>
      <w:bookmarkStart w:id="0" w:name="_GoBack"/>
      <w:bookmarkEnd w:id="0"/>
    </w:p>
    <w:p>
      <w:pPr>
        <w:overflowPunct w:val="0"/>
        <w:jc w:val="center"/>
        <w:rPr>
          <w:rFonts w:hint="eastAsia" w:eastAsia="方正小标宋简体"/>
          <w:sz w:val="44"/>
          <w:szCs w:val="44"/>
        </w:rPr>
      </w:pPr>
    </w:p>
    <w:p>
      <w:pPr>
        <w:overflowPunct w:val="0"/>
        <w:jc w:val="center"/>
        <w:rPr>
          <w:rFonts w:hint="eastAsia"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jc w:val="center"/>
        <w:rPr>
          <w:rFonts w:hint="eastAsia"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jc w:val="center"/>
        <w:rPr>
          <w:rFonts w:eastAsia="方正小标宋简体"/>
          <w:sz w:val="44"/>
          <w:szCs w:val="44"/>
        </w:rPr>
      </w:pPr>
    </w:p>
    <w:p>
      <w:pPr>
        <w:overflowPunct w:val="0"/>
        <w:ind w:left="316" w:leftChars="100" w:right="316" w:rightChars="100"/>
        <w:jc w:val="center"/>
        <w:rPr>
          <w:rFonts w:eastAsia="华文仿宋"/>
          <w:szCs w:val="32"/>
        </w:rPr>
      </w:pPr>
      <w:r>
        <w:rPr>
          <w:rFonts w:eastAsia="华文仿宋"/>
          <w:szCs w:val="32"/>
        </w:rPr>
        <w:t>叶医保〔202</w:t>
      </w:r>
      <w:r>
        <w:rPr>
          <w:rFonts w:hint="eastAsia" w:eastAsia="华文仿宋"/>
          <w:szCs w:val="32"/>
        </w:rPr>
        <w:t>4</w:t>
      </w:r>
      <w:r>
        <w:rPr>
          <w:rFonts w:eastAsia="华文仿宋"/>
          <w:szCs w:val="32"/>
        </w:rPr>
        <w:t>〕14号</w:t>
      </w:r>
    </w:p>
    <w:p>
      <w:pPr>
        <w:overflowPunct w:val="0"/>
        <w:spacing w:line="530" w:lineRule="exact"/>
        <w:jc w:val="center"/>
        <w:rPr>
          <w:rFonts w:eastAsia="方正小标宋简体"/>
          <w:sz w:val="44"/>
          <w:szCs w:val="44"/>
        </w:rPr>
      </w:pPr>
    </w:p>
    <w:p>
      <w:pPr>
        <w:overflowPunct w:val="0"/>
        <w:spacing w:line="530" w:lineRule="exact"/>
        <w:jc w:val="center"/>
        <w:rPr>
          <w:rFonts w:hint="eastAsia" w:eastAsia="方正小标宋简体"/>
          <w:sz w:val="44"/>
          <w:szCs w:val="44"/>
        </w:rPr>
      </w:pPr>
    </w:p>
    <w:p>
      <w:pPr>
        <w:overflowPunct w:val="0"/>
        <w:spacing w:line="640" w:lineRule="exact"/>
        <w:jc w:val="center"/>
        <w:rPr>
          <w:rFonts w:eastAsia="方正小标宋简体"/>
          <w:w w:val="92"/>
          <w:sz w:val="44"/>
          <w:szCs w:val="44"/>
        </w:rPr>
      </w:pPr>
      <w:r>
        <w:rPr>
          <w:rFonts w:eastAsia="方正小标宋简体"/>
          <w:w w:val="92"/>
          <w:sz w:val="44"/>
          <w:szCs w:val="44"/>
        </w:rPr>
        <w:t>关于加强困难群众健康管理和医疗保障工作的通知</w:t>
      </w:r>
    </w:p>
    <w:p>
      <w:pPr>
        <w:overflowPunct w:val="0"/>
        <w:spacing w:line="560" w:lineRule="exact"/>
        <w:ind w:firstLine="632" w:firstLineChars="200"/>
        <w:jc w:val="center"/>
        <w:rPr>
          <w:color w:val="000000" w:themeColor="text1"/>
          <w:szCs w:val="32"/>
          <w14:textFill>
            <w14:solidFill>
              <w14:schemeClr w14:val="tx1"/>
            </w14:solidFill>
          </w14:textFill>
        </w:rPr>
      </w:pPr>
    </w:p>
    <w:p>
      <w:pPr>
        <w:overflowPunct w:val="0"/>
        <w:spacing w:line="560"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各乡镇人民政府、街道办事处，区直有关单位，区紧密型医共体牵头医院及成员单位：</w:t>
      </w:r>
    </w:p>
    <w:p>
      <w:pPr>
        <w:overflowPunct w:val="0"/>
        <w:spacing w:line="560" w:lineRule="exact"/>
        <w:ind w:firstLine="632" w:firstLineChars="200"/>
        <w:rPr>
          <w:rFonts w:hint="eastAsia"/>
        </w:rPr>
      </w:pPr>
      <w:r>
        <w:rPr>
          <w:rFonts w:hint="eastAsia"/>
        </w:rPr>
        <w:t>为深入贯彻落实《中共中央　国务院关于学习运用“千村示范、万村整治”工程经验有力有效推进乡村全面振兴的意见》《安徽省人民政府办公厅关于印发〈安徽省健全重特大疾病医疗保险和救助制度若干举措〉的通知》（皖政办〔2022〕6号）和《六安市叶集区人民政府办公室关于印发&lt;六安市叶集区优化医保基金运行管理的若干举措&gt;的通知》（叶政办〔2024〕9号）精神，聚焦减轻困难群众重特大疾病医疗费用负担，建立健全防范和化解因病致贫返贫长效机制，促进分级诊疗，引导困难群众合理就医，提高医保基金使用效益，现将有关工作通知如下：</w:t>
      </w:r>
    </w:p>
    <w:p>
      <w:pPr>
        <w:overflowPunct w:val="0"/>
        <w:spacing w:line="560" w:lineRule="exact"/>
        <w:ind w:firstLine="632" w:firstLineChars="200"/>
        <w:rPr>
          <w:rFonts w:hint="eastAsia" w:eastAsia="黑体"/>
        </w:rPr>
      </w:pPr>
      <w:r>
        <w:rPr>
          <w:rFonts w:hint="eastAsia" w:eastAsia="黑体"/>
        </w:rPr>
        <w:t>一、全面落实困难群众应保尽保</w:t>
      </w:r>
    </w:p>
    <w:p>
      <w:pPr>
        <w:overflowPunct w:val="0"/>
        <w:spacing w:line="560" w:lineRule="exact"/>
        <w:ind w:firstLine="632" w:firstLineChars="200"/>
        <w:rPr>
          <w:rFonts w:hint="eastAsia"/>
        </w:rPr>
      </w:pPr>
      <w:r>
        <w:rPr>
          <w:rFonts w:hint="eastAsia"/>
        </w:rPr>
        <w:t>全面落实困难群众居民医保参保资助政策，困难群众按规定参加城乡居民医疗保险的，根据标准进行资助，对未参保的新增困难群众及时资助参保。强化部门间工作衔接，及时做好动态调整人员信息传递和身份标识工作，确保困难群众及时参保、应保尽保，避免重复参保。（责任单位：区医保局、区税务局、区农业农村局、区民政局、区财政局、区退役军人局，各乡镇人民政府〈街道办事处〉。排名第一的为牵头责任单位，下同）</w:t>
      </w:r>
    </w:p>
    <w:p>
      <w:pPr>
        <w:overflowPunct w:val="0"/>
        <w:spacing w:line="560" w:lineRule="exact"/>
        <w:ind w:firstLine="632" w:firstLineChars="200"/>
        <w:rPr>
          <w:rFonts w:hint="eastAsia" w:eastAsia="黑体"/>
        </w:rPr>
      </w:pPr>
      <w:r>
        <w:rPr>
          <w:rFonts w:hint="eastAsia" w:eastAsia="黑体"/>
        </w:rPr>
        <w:t>二、强化预防监测防范返贫风险</w:t>
      </w:r>
    </w:p>
    <w:p>
      <w:pPr>
        <w:overflowPunct w:val="0"/>
        <w:spacing w:line="560" w:lineRule="exact"/>
        <w:ind w:firstLine="632" w:firstLineChars="200"/>
        <w:rPr>
          <w:rFonts w:hint="eastAsia"/>
        </w:rPr>
      </w:pPr>
      <w:r>
        <w:rPr>
          <w:rFonts w:hint="eastAsia"/>
        </w:rPr>
        <w:t>建立健全对困难群众主动发现、动态监测、信息共享机制，做到早发现、早干预、早服务。医保部门定期将困难群众救助情况和费用负担情况推送给农业农村、民政等部门和所在乡镇街，由相关部门或乡镇街入户了解情况，主动介入，开展精准帮扶。做好重疾患者上门服务，由区内二级医疗机构牵头对重疾患者和大额医疗费用患者开展上门走访，掌握就医信息、提供诊疗建议，对在愿意在区内就医的，可采取药品集中采购配送、特殊疾病专项补助和外请专家等方式为群众提供优质医疗服务，减轻费用负担。（责任单位：区医保局、区民政局、区农业农村局，各乡镇人民政府〈街道办事处〉，各定点医疗机构）</w:t>
      </w:r>
    </w:p>
    <w:p>
      <w:pPr>
        <w:overflowPunct w:val="0"/>
        <w:spacing w:line="560" w:lineRule="exact"/>
        <w:ind w:firstLine="632" w:firstLineChars="200"/>
        <w:rPr>
          <w:rFonts w:hint="eastAsia" w:eastAsia="黑体"/>
        </w:rPr>
      </w:pPr>
      <w:r>
        <w:rPr>
          <w:rFonts w:hint="eastAsia" w:eastAsia="黑体"/>
        </w:rPr>
        <w:t>三、实行网格化管理提升服务水平</w:t>
      </w:r>
    </w:p>
    <w:p>
      <w:pPr>
        <w:overflowPunct w:val="0"/>
        <w:spacing w:line="560" w:lineRule="exact"/>
        <w:ind w:firstLine="632" w:firstLineChars="200"/>
        <w:rPr>
          <w:rFonts w:hint="eastAsia"/>
        </w:rPr>
      </w:pPr>
      <w:r>
        <w:rPr>
          <w:rFonts w:hint="eastAsia"/>
        </w:rPr>
        <w:t>健全乡镇街干部包片、村社干部包组的包保机制，对困难群众医疗保障和健康服务实行网格化管理。由各乡镇街牵头组建“1+1+1”医疗保障和健康服务团队，每名困难群众由一名乡镇街干部、一名村干部和一名家庭签约医生组成“健康管家”进行包保。根据辖区困难群众健康状况分级分类建立管理台账，定期开展上门走访，及时掌握动态信息，为困难群众提供健康咨询、定期巡诊以及医保政策宣传等服务；重疾患者在包保的基础上，由二级医疗机构牵头，抽调专家定期上门服务、宣传政策，引导群众合理就医。村社干部和签约医生在日常走访过程中，对有就诊需求困难群众的要及时反馈至乡镇街和辖区医疗机构，便于医疗机构及时作出收治或转诊建议。乡镇街干部和各乡镇卫生院（街道社区卫生服务中心）负责人作为片区管理员要及时关注困难群众大病、重病救治情况，对区外就医的开展上门走访，掌握困难群众就医和费用负担情况，对自行外出的要做好政策宣传，引导其分级诊疗、合理就医。（责任单位：各乡镇人民政府〈街道办事处〉、区卫健委、各乡镇卫生院〈街道社区卫生服务中心〉、村卫生室〈社区卫生服务站〉）</w:t>
      </w:r>
    </w:p>
    <w:p>
      <w:pPr>
        <w:overflowPunct w:val="0"/>
        <w:spacing w:line="560" w:lineRule="exact"/>
        <w:ind w:firstLine="632" w:firstLineChars="200"/>
        <w:rPr>
          <w:rFonts w:hint="eastAsia" w:eastAsia="黑体"/>
        </w:rPr>
      </w:pPr>
      <w:r>
        <w:rPr>
          <w:rFonts w:hint="eastAsia" w:eastAsia="黑体"/>
        </w:rPr>
        <w:t>四、落实分级诊疗引导合理就医</w:t>
      </w:r>
    </w:p>
    <w:p>
      <w:pPr>
        <w:overflowPunct w:val="0"/>
        <w:spacing w:line="560" w:lineRule="exact"/>
        <w:ind w:firstLine="632" w:firstLineChars="200"/>
        <w:rPr>
          <w:rFonts w:hint="eastAsia"/>
        </w:rPr>
      </w:pPr>
      <w:r>
        <w:rPr>
          <w:rFonts w:hint="eastAsia"/>
        </w:rPr>
        <w:t>乡镇卫生院（街道社区卫生服务中心）作为辖区患者“基层首诊”责任人，要结合困难群众医疗保障和健康服务实行网格化管理工作，根据村社干部和签约医生反馈情况，主动引导辖区困难群众小病、轻症在基层，基层无法治疗的转至区内二级医院。区内二级医院对经乡镇卫生院（街道社区卫生服务中心）上转的患者提供优先接诊、优先检查、优先住院等服务，对急性病恢复期患者、术后恢复期患者及危重症稳定期患者，应及时下转乡镇卫生院（街道社区卫生服务中心）进行恢复治疗。对医共体内连续治疗按住院就医起付线最高标准收取一次费用，取消下转病人二次住院起付线收费。对需要外出就医的由医共体牵头医院负责转诊，严格执行六安市转诊白名单，未按规定转诊的救助对象所发生的医疗费用原则上不纳入医疗救助范围。（责任单位：区卫健委、区医保局，区内各定点医院、各村卫生室〈社区卫生服务站〉）</w:t>
      </w:r>
    </w:p>
    <w:p>
      <w:pPr>
        <w:overflowPunct w:val="0"/>
        <w:spacing w:line="560" w:lineRule="exact"/>
        <w:ind w:firstLine="632" w:firstLineChars="200"/>
        <w:rPr>
          <w:rFonts w:hint="eastAsia" w:eastAsia="黑体"/>
        </w:rPr>
      </w:pPr>
      <w:r>
        <w:rPr>
          <w:rFonts w:hint="eastAsia" w:eastAsia="黑体"/>
        </w:rPr>
        <w:t>五、多措并举降低就医费用负担</w:t>
      </w:r>
    </w:p>
    <w:p>
      <w:pPr>
        <w:overflowPunct w:val="0"/>
        <w:spacing w:line="560" w:lineRule="exact"/>
        <w:ind w:firstLine="632" w:firstLineChars="200"/>
        <w:rPr>
          <w:rFonts w:hint="eastAsia"/>
        </w:rPr>
      </w:pPr>
      <w:r>
        <w:rPr>
          <w:rFonts w:hint="eastAsia"/>
        </w:rPr>
        <w:t>做好医疗救助政策主动找人工作，医保部门通过结算数据筛选出个人自付合规医疗费用较高人员，由所在乡镇街上门宣传政策、核查身份、帮助办理依申请救助手续。对符合条件的病种通过外请专家在区内会诊（手术）的按规定进行补助，减少困难群众外出就医负担。针对诊疗方案明确、临床路径清晰、用药品种和剂量相对稳定的慢特病（如恶性肿瘤、器官移植术后等），治疗药品由医共体牵头医院集中采购，患者可在牵头医院诊疗、结算；有条件的可将药品配送至患者所在乡镇卫生院（街道社区卫生服务中心），方便患者就近就医。加强区人民医院血液透析科室建设，简化血透患者就医、结算流程，对血透患者给与相应补助。按照安全有效、经济适宜、救助基本的原则，引导困难群众和定点医疗机构优先选择纳入基本医保支付范围的药品、医用耗材和诊疗项目，降低自费费用占比，推进医疗机构间检查检验结果互认共享，降低群众就医成本。（责任单位：区卫健委、区医保局，区内各定点医疗机构）</w:t>
      </w:r>
    </w:p>
    <w:p>
      <w:pPr>
        <w:overflowPunct w:val="0"/>
        <w:spacing w:line="560" w:lineRule="exact"/>
        <w:ind w:firstLine="632" w:firstLineChars="200"/>
        <w:rPr>
          <w:rFonts w:hint="eastAsia" w:eastAsia="黑体"/>
        </w:rPr>
      </w:pPr>
      <w:r>
        <w:rPr>
          <w:rFonts w:hint="eastAsia" w:eastAsia="黑体"/>
        </w:rPr>
        <w:t>六、严格落实各项考核奖惩措施</w:t>
      </w:r>
    </w:p>
    <w:p>
      <w:pPr>
        <w:overflowPunct w:val="0"/>
        <w:spacing w:line="560" w:lineRule="exact"/>
        <w:ind w:firstLine="632" w:firstLineChars="200"/>
        <w:rPr>
          <w:rFonts w:hint="eastAsia"/>
        </w:rPr>
      </w:pPr>
      <w:r>
        <w:rPr>
          <w:rFonts w:hint="eastAsia"/>
        </w:rPr>
        <w:t>将困难群众健康管理和医疗保障工作开展情况，纳入对医共体绩效考核和体内预算考核，加强结果运用，严格兑现奖惩，将考核得分作为牵头医院和乡镇卫生院（街道社区卫生服务中心）领导班子、医务人员和乡村医生的月度绩效和年终绩效分配系数，并与公卫资金和其他专项资金分配挂钩。（责任单位：区卫健委、区医保局、区财政局、区医共体牵头医院）</w:t>
      </w:r>
    </w:p>
    <w:p>
      <w:pPr>
        <w:overflowPunct w:val="0"/>
        <w:spacing w:line="560" w:lineRule="exact"/>
        <w:ind w:firstLine="632" w:firstLineChars="200"/>
        <w:rPr>
          <w:rFonts w:hint="eastAsia" w:eastAsia="黑体"/>
        </w:rPr>
      </w:pPr>
      <w:r>
        <w:rPr>
          <w:rFonts w:hint="eastAsia" w:eastAsia="黑体"/>
        </w:rPr>
        <w:t>七、压实工作责任强化协同配合</w:t>
      </w:r>
    </w:p>
    <w:p>
      <w:pPr>
        <w:overflowPunct w:val="0"/>
        <w:spacing w:line="560" w:lineRule="exact"/>
        <w:ind w:firstLine="632" w:firstLineChars="200"/>
        <w:rPr>
          <w:rFonts w:hint="eastAsia"/>
        </w:rPr>
      </w:pPr>
      <w:r>
        <w:rPr>
          <w:rFonts w:hint="eastAsia"/>
        </w:rPr>
        <w:t>各部门要履行好自身职责，主动协调配合，形成齐抓共管工作格局。乡镇人民政府（街道办事处）组织乡村两级干部摸清困难群众健康状况、常住地、就诊地等基本信息，联合属地医疗机构及健康管理和医疗保障小组，对困难群众所患疾病情况开展分析，提出诊疗建议，有针对性的开展政策宣传，引导群众就近就医，实现大病患者回流。</w:t>
      </w:r>
    </w:p>
    <w:p>
      <w:pPr>
        <w:overflowPunct w:val="0"/>
        <w:spacing w:line="560" w:lineRule="exact"/>
        <w:ind w:firstLine="632" w:firstLineChars="200"/>
        <w:rPr>
          <w:rFonts w:hint="eastAsia"/>
        </w:rPr>
      </w:pPr>
      <w:r>
        <w:rPr>
          <w:rFonts w:hint="eastAsia"/>
        </w:rPr>
        <w:t>医保部门要优化经办服务，实行“一站式”服务、“一窗式”办理，提高结算服务便利性。要按月反馈困难群众住院信息，对住院率、区外就诊率、基金支出等进行量化排序。指导乡镇人民政府（街道办事处）、属地医疗机构开展住院情况分析。联合卫健部门督促指导各乡镇街落实网格化管理服务，做好群众日常健康管理，创新政策宣传方式，发挥医保基金和医疗救助资金效益。</w:t>
      </w:r>
    </w:p>
    <w:p>
      <w:pPr>
        <w:overflowPunct w:val="0"/>
        <w:spacing w:line="560" w:lineRule="exact"/>
        <w:ind w:firstLine="632" w:firstLineChars="200"/>
        <w:rPr>
          <w:rFonts w:hint="eastAsia"/>
        </w:rPr>
      </w:pPr>
      <w:r>
        <w:rPr>
          <w:rFonts w:hint="eastAsia"/>
        </w:rPr>
        <w:t>卫生健康部门负责指导各医疗机构建立健全咨询宣传、医疗安全质量管理、规范诊疗路径、家庭医生签约服务等工作制度，督促基层医疗机构做好网格化管理和组建健康管理和医疗保障小组工作，配合有关部门开展监督检查。要指导紧密型医共体牵头医院与省、市级医疗机构探索建立医联体、专科联盟等，推动优质资源下沉和患者有序转诊，努力实现让患者“留得下，治得好，能满意”。</w:t>
      </w:r>
    </w:p>
    <w:p>
      <w:pPr>
        <w:overflowPunct w:val="0"/>
        <w:spacing w:line="560" w:lineRule="exact"/>
        <w:ind w:firstLine="632" w:firstLineChars="200"/>
        <w:rPr>
          <w:rFonts w:hint="eastAsia"/>
        </w:rPr>
      </w:pPr>
      <w:r>
        <w:rPr>
          <w:rFonts w:hint="eastAsia"/>
        </w:rPr>
        <w:t>民政部门会同相关部门做好特困供养人员、低保对象和其他农村低收入人口认定和信息共享；配合区直有关部门做好特困供养人员就医管理；协助各乡镇街做好该类人群精准识别、精细化管理及信息化服务，指导各乡镇街做好医疗救助对象审核认定工作。</w:t>
      </w:r>
    </w:p>
    <w:p>
      <w:pPr>
        <w:overflowPunct w:val="0"/>
        <w:spacing w:line="560" w:lineRule="exact"/>
        <w:ind w:firstLine="632" w:firstLineChars="200"/>
        <w:rPr>
          <w:rFonts w:hint="eastAsia"/>
        </w:rPr>
      </w:pPr>
      <w:r>
        <w:rPr>
          <w:rFonts w:hint="eastAsia"/>
        </w:rPr>
        <w:t>农业农村部门做好返贫致贫和防止返贫致贫监测对象认定和信息共享工作，对医保部门反馈的大额医疗费用人员精细监测、核查。退役军人、残联等其他相关部门要围绕各自职责和服务的群体，细化相关服务措施，支持各乡镇街和定点医疗机构做好困难群众医疗保障和健康服务定点管理工作。</w:t>
      </w:r>
    </w:p>
    <w:p>
      <w:pPr>
        <w:overflowPunct w:val="0"/>
        <w:spacing w:line="560" w:lineRule="exact"/>
        <w:ind w:firstLine="632" w:firstLineChars="200"/>
        <w:rPr>
          <w:rFonts w:hint="eastAsia"/>
        </w:rPr>
      </w:pPr>
      <w:r>
        <w:rPr>
          <w:rFonts w:hint="eastAsia"/>
        </w:rPr>
        <w:t>财政部门做好困难群众资助参保、医疗救助等资金保障工作，加强资金监管和绩效评价。</w:t>
      </w:r>
    </w:p>
    <w:p>
      <w:pPr>
        <w:overflowPunct w:val="0"/>
        <w:jc w:val="left"/>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3"/>
        <w:gridCol w:w="567"/>
        <w:gridCol w:w="4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823" w:type="dxa"/>
            <w:vAlign w:val="center"/>
          </w:tcPr>
          <w:p>
            <w:pPr>
              <w:overflowPunct w:val="0"/>
              <w:jc w:val="distribute"/>
              <w:rPr>
                <w:rFonts w:hint="eastAsia"/>
              </w:rPr>
            </w:pPr>
            <w:r>
              <w:rPr>
                <w:rFonts w:hint="eastAsia"/>
              </w:rPr>
              <w:t>六安市叶集区医疗保障局</w:t>
            </w:r>
          </w:p>
        </w:tc>
        <w:tc>
          <w:tcPr>
            <w:tcW w:w="567" w:type="dxa"/>
            <w:vAlign w:val="center"/>
          </w:tcPr>
          <w:p>
            <w:pPr>
              <w:overflowPunct w:val="0"/>
              <w:jc w:val="distribute"/>
              <w:rPr>
                <w:rFonts w:hint="eastAsia"/>
              </w:rPr>
            </w:pPr>
          </w:p>
        </w:tc>
        <w:tc>
          <w:tcPr>
            <w:tcW w:w="4444" w:type="dxa"/>
            <w:vAlign w:val="center"/>
          </w:tcPr>
          <w:p>
            <w:pPr>
              <w:overflowPunct w:val="0"/>
              <w:jc w:val="distribute"/>
              <w:rPr>
                <w:rFonts w:hint="eastAsia"/>
              </w:rPr>
            </w:pPr>
            <w:r>
              <w:rPr>
                <w:rFonts w:hint="eastAsia"/>
              </w:rPr>
              <w:t>六安市叶集区卫生健康委员会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823" w:type="dxa"/>
            <w:vAlign w:val="center"/>
          </w:tcPr>
          <w:p>
            <w:pPr>
              <w:overflowPunct w:val="0"/>
              <w:jc w:val="distribute"/>
              <w:rPr>
                <w:rFonts w:hint="eastAsia"/>
              </w:rPr>
            </w:pPr>
            <w:r>
              <w:rPr>
                <w:rFonts w:hint="eastAsia"/>
              </w:rPr>
              <w:t>六安市叶集区农业农村局</w:t>
            </w:r>
          </w:p>
        </w:tc>
        <w:tc>
          <w:tcPr>
            <w:tcW w:w="567" w:type="dxa"/>
            <w:vAlign w:val="center"/>
          </w:tcPr>
          <w:p>
            <w:pPr>
              <w:overflowPunct w:val="0"/>
              <w:jc w:val="distribute"/>
              <w:rPr>
                <w:rFonts w:hint="eastAsia"/>
              </w:rPr>
            </w:pPr>
          </w:p>
        </w:tc>
        <w:tc>
          <w:tcPr>
            <w:tcW w:w="4444" w:type="dxa"/>
            <w:vAlign w:val="center"/>
          </w:tcPr>
          <w:p>
            <w:pPr>
              <w:overflowPunct w:val="0"/>
              <w:jc w:val="distribute"/>
              <w:rPr>
                <w:rFonts w:hint="eastAsia"/>
              </w:rPr>
            </w:pPr>
            <w:r>
              <w:rPr>
                <w:rFonts w:hint="eastAsia"/>
              </w:rPr>
              <w:t>六安市叶集区民政局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823" w:type="dxa"/>
            <w:vAlign w:val="center"/>
          </w:tcPr>
          <w:p>
            <w:pPr>
              <w:overflowPunct w:val="0"/>
              <w:jc w:val="distribute"/>
              <w:rPr>
                <w:rFonts w:hint="eastAsia"/>
              </w:rPr>
            </w:pPr>
            <w:r>
              <w:rPr>
                <w:rFonts w:hint="eastAsia"/>
              </w:rPr>
              <w:t>六安市叶集区财政局</w:t>
            </w:r>
          </w:p>
        </w:tc>
        <w:tc>
          <w:tcPr>
            <w:tcW w:w="567" w:type="dxa"/>
            <w:vAlign w:val="center"/>
          </w:tcPr>
          <w:p>
            <w:pPr>
              <w:overflowPunct w:val="0"/>
              <w:jc w:val="distribute"/>
              <w:rPr>
                <w:rFonts w:hint="eastAsia"/>
              </w:rPr>
            </w:pPr>
          </w:p>
        </w:tc>
        <w:tc>
          <w:tcPr>
            <w:tcW w:w="4444" w:type="dxa"/>
            <w:vAlign w:val="center"/>
          </w:tcPr>
          <w:p>
            <w:pPr>
              <w:overflowPunct w:val="0"/>
              <w:jc w:val="distribute"/>
              <w:rPr>
                <w:rFonts w:hint="eastAsia"/>
              </w:rPr>
            </w:pPr>
            <w:r>
              <w:rPr>
                <w:rFonts w:hint="eastAsia"/>
              </w:rPr>
              <w:t>六安市叶集区退役军人事务局</w:t>
            </w:r>
          </w:p>
        </w:tc>
      </w:tr>
    </w:tbl>
    <w:p>
      <w:pPr>
        <w:overflowPunct w:val="0"/>
        <w:spacing w:line="520" w:lineRule="exact"/>
        <w:ind w:firstLine="632" w:firstLineChars="200"/>
      </w:pPr>
    </w:p>
    <w:p>
      <w:pPr>
        <w:overflowPunct w:val="0"/>
        <w:spacing w:line="520" w:lineRule="exact"/>
        <w:ind w:firstLine="632" w:firstLineChars="200"/>
        <w:rPr>
          <w:rFonts w:hint="eastAsia"/>
        </w:rPr>
      </w:pPr>
    </w:p>
    <w:p>
      <w:pPr>
        <w:overflowPunct w:val="0"/>
        <w:spacing w:line="520" w:lineRule="exact"/>
        <w:ind w:firstLine="632" w:firstLineChars="200"/>
        <w:jc w:val="right"/>
      </w:pPr>
      <w:r>
        <w:rPr>
          <w:rFonts w:hint="eastAsia"/>
        </w:rPr>
        <w:t>国家税务总局六安市叶集区税务局</w:t>
      </w:r>
    </w:p>
    <w:p>
      <w:pPr>
        <w:overflowPunct w:val="0"/>
        <w:spacing w:line="520" w:lineRule="exact"/>
        <w:ind w:right="1264" w:rightChars="400" w:firstLine="632" w:firstLineChars="200"/>
        <w:jc w:val="right"/>
      </w:pPr>
      <w:r>
        <w:rPr>
          <w:rFonts w:hint="eastAsia"/>
        </w:rPr>
        <w:t>2</w:t>
      </w:r>
      <w:r>
        <w:t>024年</w:t>
      </w:r>
      <w:r>
        <w:rPr>
          <w:rFonts w:hint="eastAsia"/>
        </w:rPr>
        <w:t>5月2</w:t>
      </w:r>
      <w:r>
        <w:t>3日</w:t>
      </w:r>
      <w:r>
        <w:br w:type="page"/>
      </w:r>
    </w:p>
    <w:tbl>
      <w:tblPr>
        <w:tblStyle w:val="4"/>
        <w:tblpPr w:leftFromText="181" w:rightFromText="181" w:tblpXSpec="center" w:tblpYSpec="bottom"/>
        <w:tblOverlap w:val="never"/>
        <w:tblW w:w="8870" w:type="dxa"/>
        <w:tblInd w:w="0" w:type="dxa"/>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8870"/>
      </w:tblGrid>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atLeast"/>
        </w:trPr>
        <w:tc>
          <w:tcPr>
            <w:tcW w:w="8870" w:type="dxa"/>
            <w:vAlign w:val="center"/>
          </w:tcPr>
          <w:p>
            <w:pPr>
              <w:overflowPunct w:val="0"/>
              <w:spacing w:line="300" w:lineRule="exact"/>
              <w:ind w:left="316" w:leftChars="100" w:right="316" w:rightChars="100"/>
              <w:rPr>
                <w:rFonts w:eastAsia="华文仿宋"/>
                <w:color w:val="000000"/>
                <w:sz w:val="28"/>
                <w:szCs w:val="28"/>
              </w:rPr>
            </w:pPr>
            <w:r>
              <w:rPr>
                <w:rFonts w:eastAsia="华文仿宋"/>
                <w:color w:val="000000"/>
                <w:sz w:val="28"/>
                <w:szCs w:val="28"/>
              </w:rPr>
              <w:t>六安市叶集区</w:t>
            </w:r>
            <w:r>
              <w:rPr>
                <w:rFonts w:hint="eastAsia" w:eastAsia="华文仿宋"/>
                <w:color w:val="000000"/>
                <w:sz w:val="28"/>
                <w:szCs w:val="28"/>
              </w:rPr>
              <w:t>医疗保障</w:t>
            </w:r>
            <w:r>
              <w:rPr>
                <w:rFonts w:eastAsia="华文仿宋"/>
                <w:color w:val="000000"/>
                <w:sz w:val="28"/>
                <w:szCs w:val="28"/>
              </w:rPr>
              <w:t>局</w:t>
            </w:r>
            <w:r>
              <w:rPr>
                <w:rFonts w:hint="eastAsia" w:eastAsia="华文仿宋"/>
                <w:color w:val="000000"/>
                <w:sz w:val="28"/>
                <w:szCs w:val="28"/>
              </w:rPr>
              <w:t xml:space="preserve"> </w:t>
            </w:r>
            <w:r>
              <w:rPr>
                <w:rFonts w:eastAsia="华文仿宋"/>
                <w:color w:val="000000"/>
                <w:sz w:val="28"/>
                <w:szCs w:val="28"/>
              </w:rPr>
              <w:t xml:space="preserve">   </w:t>
            </w:r>
            <w:r>
              <w:rPr>
                <w:rFonts w:hint="eastAsia" w:eastAsia="华文仿宋"/>
                <w:color w:val="000000"/>
                <w:sz w:val="28"/>
                <w:szCs w:val="28"/>
              </w:rPr>
              <w:t xml:space="preserve"> </w:t>
            </w:r>
            <w:r>
              <w:rPr>
                <w:rFonts w:eastAsia="华文仿宋"/>
                <w:color w:val="000000"/>
                <w:sz w:val="28"/>
                <w:szCs w:val="28"/>
              </w:rPr>
              <w:t xml:space="preserve">            202</w:t>
            </w:r>
            <w:r>
              <w:rPr>
                <w:rFonts w:hint="eastAsia" w:eastAsia="华文仿宋"/>
                <w:color w:val="000000"/>
                <w:sz w:val="28"/>
                <w:szCs w:val="28"/>
              </w:rPr>
              <w:t>4</w:t>
            </w:r>
            <w:r>
              <w:rPr>
                <w:rFonts w:eastAsia="华文仿宋"/>
                <w:color w:val="000000"/>
                <w:sz w:val="28"/>
                <w:szCs w:val="28"/>
              </w:rPr>
              <w:t>年5月</w:t>
            </w:r>
            <w:r>
              <w:rPr>
                <w:rFonts w:hint="eastAsia" w:eastAsia="华文仿宋"/>
                <w:color w:val="000000"/>
                <w:sz w:val="28"/>
                <w:szCs w:val="28"/>
              </w:rPr>
              <w:t>2</w:t>
            </w:r>
            <w:r>
              <w:rPr>
                <w:rFonts w:eastAsia="华文仿宋"/>
                <w:color w:val="000000"/>
                <w:sz w:val="28"/>
                <w:szCs w:val="28"/>
              </w:rPr>
              <w:t>3日印发</w:t>
            </w:r>
          </w:p>
        </w:tc>
      </w:tr>
    </w:tbl>
    <w:p>
      <w:pPr>
        <w:overflowPunct w:val="0"/>
        <w:spacing w:line="520" w:lineRule="exact"/>
        <w:ind w:firstLine="632" w:firstLineChars="200"/>
        <w:rPr>
          <w:rFonts w:hint="eastAsia"/>
        </w:rPr>
      </w:pPr>
    </w:p>
    <w:sectPr>
      <w:headerReference r:id="rId3" w:type="default"/>
      <w:footerReference r:id="rId5" w:type="default"/>
      <w:headerReference r:id="rId4" w:type="even"/>
      <w:footerReference r:id="rId6" w:type="even"/>
      <w:pgSz w:w="11906" w:h="16838"/>
      <w:pgMar w:top="2098" w:right="1531" w:bottom="1985" w:left="1531"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sz w:val="28"/>
        <w:szCs w:val="28"/>
      </w:rPr>
    </w:pPr>
    <w:r>
      <w:rPr>
        <w:rStyle w:val="7"/>
        <w:rFonts w:hint="eastAsia"/>
        <w:sz w:val="28"/>
        <w:szCs w:val="28"/>
      </w:rPr>
      <w:t>—</w:t>
    </w: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7</w:t>
    </w:r>
    <w:r>
      <w:rPr>
        <w:rStyle w:val="7"/>
        <w:sz w:val="28"/>
        <w:szCs w:val="28"/>
      </w:rPr>
      <w:fldChar w:fldCharType="end"/>
    </w:r>
    <w:r>
      <w:rPr>
        <w:rStyle w:val="7"/>
        <w:sz w:val="28"/>
        <w:szCs w:val="28"/>
      </w:rPr>
      <w:t xml:space="preserve"> </w:t>
    </w:r>
    <w:r>
      <w:rPr>
        <w:rStyle w:val="7"/>
        <w:rFonts w:hint="eastAsia"/>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sz w:val="28"/>
        <w:szCs w:val="28"/>
      </w:rPr>
    </w:pPr>
    <w:r>
      <w:rPr>
        <w:rStyle w:val="7"/>
        <w:rFonts w:hint="eastAsia"/>
        <w:sz w:val="28"/>
        <w:szCs w:val="28"/>
      </w:rPr>
      <w:t>—</w:t>
    </w: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sz w:val="28"/>
        <w:szCs w:val="28"/>
      </w:rPr>
      <w:t xml:space="preserve"> </w:t>
    </w:r>
    <w:r>
      <w:rPr>
        <w:rStyle w:val="7"/>
        <w:rFonts w:hint="eastAsia"/>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MmViYThiMmI5MDM5ZTA4YTk2MjI0YTlmZWVlZWQifQ=="/>
  </w:docVars>
  <w:rsids>
    <w:rsidRoot w:val="00166D55"/>
    <w:rsid w:val="00001035"/>
    <w:rsid w:val="00014D8F"/>
    <w:rsid w:val="00015D07"/>
    <w:rsid w:val="00050339"/>
    <w:rsid w:val="00076C20"/>
    <w:rsid w:val="0008542B"/>
    <w:rsid w:val="000901B6"/>
    <w:rsid w:val="00092A2D"/>
    <w:rsid w:val="00094E88"/>
    <w:rsid w:val="00096FC4"/>
    <w:rsid w:val="000A084B"/>
    <w:rsid w:val="000A5A5B"/>
    <w:rsid w:val="000A6EE4"/>
    <w:rsid w:val="000B1488"/>
    <w:rsid w:val="000C473C"/>
    <w:rsid w:val="000E78CB"/>
    <w:rsid w:val="000F1906"/>
    <w:rsid w:val="000F385C"/>
    <w:rsid w:val="000F5934"/>
    <w:rsid w:val="00104087"/>
    <w:rsid w:val="00157218"/>
    <w:rsid w:val="001665F4"/>
    <w:rsid w:val="00166D55"/>
    <w:rsid w:val="00182EF2"/>
    <w:rsid w:val="00192A9D"/>
    <w:rsid w:val="0019590B"/>
    <w:rsid w:val="001A54A7"/>
    <w:rsid w:val="001B1896"/>
    <w:rsid w:val="001E4C46"/>
    <w:rsid w:val="001F014B"/>
    <w:rsid w:val="002103A4"/>
    <w:rsid w:val="00243D85"/>
    <w:rsid w:val="00262851"/>
    <w:rsid w:val="00277E98"/>
    <w:rsid w:val="00283BC1"/>
    <w:rsid w:val="00285CB3"/>
    <w:rsid w:val="00292B9B"/>
    <w:rsid w:val="002933CE"/>
    <w:rsid w:val="002C1E74"/>
    <w:rsid w:val="002C3B2D"/>
    <w:rsid w:val="002C68C2"/>
    <w:rsid w:val="002E6C2D"/>
    <w:rsid w:val="00301175"/>
    <w:rsid w:val="00316CBF"/>
    <w:rsid w:val="003523C0"/>
    <w:rsid w:val="00363A0C"/>
    <w:rsid w:val="0039169A"/>
    <w:rsid w:val="003A574D"/>
    <w:rsid w:val="003C51F7"/>
    <w:rsid w:val="003D0308"/>
    <w:rsid w:val="003D052A"/>
    <w:rsid w:val="003D787A"/>
    <w:rsid w:val="003E3A6B"/>
    <w:rsid w:val="00404A9D"/>
    <w:rsid w:val="00426655"/>
    <w:rsid w:val="00462034"/>
    <w:rsid w:val="00475464"/>
    <w:rsid w:val="00476AA2"/>
    <w:rsid w:val="004910B6"/>
    <w:rsid w:val="004B0C3F"/>
    <w:rsid w:val="004B3CBF"/>
    <w:rsid w:val="004E601E"/>
    <w:rsid w:val="004E607F"/>
    <w:rsid w:val="00512C35"/>
    <w:rsid w:val="00534728"/>
    <w:rsid w:val="00566818"/>
    <w:rsid w:val="005B052F"/>
    <w:rsid w:val="005C29B4"/>
    <w:rsid w:val="005E0169"/>
    <w:rsid w:val="00604DA0"/>
    <w:rsid w:val="00612C6D"/>
    <w:rsid w:val="00637D58"/>
    <w:rsid w:val="006401D4"/>
    <w:rsid w:val="006515D5"/>
    <w:rsid w:val="00652F1C"/>
    <w:rsid w:val="0065646C"/>
    <w:rsid w:val="00683DB4"/>
    <w:rsid w:val="006C2FDD"/>
    <w:rsid w:val="006F6979"/>
    <w:rsid w:val="00710058"/>
    <w:rsid w:val="007220AE"/>
    <w:rsid w:val="007273C5"/>
    <w:rsid w:val="00740FD8"/>
    <w:rsid w:val="00747F7F"/>
    <w:rsid w:val="00757ADA"/>
    <w:rsid w:val="007658BA"/>
    <w:rsid w:val="007903C1"/>
    <w:rsid w:val="007D4D56"/>
    <w:rsid w:val="00811C13"/>
    <w:rsid w:val="0083468B"/>
    <w:rsid w:val="0083611A"/>
    <w:rsid w:val="00853C69"/>
    <w:rsid w:val="008557BD"/>
    <w:rsid w:val="008672A6"/>
    <w:rsid w:val="00871D74"/>
    <w:rsid w:val="00896F1B"/>
    <w:rsid w:val="008A76BA"/>
    <w:rsid w:val="008B2219"/>
    <w:rsid w:val="008C7844"/>
    <w:rsid w:val="008D3437"/>
    <w:rsid w:val="008D3996"/>
    <w:rsid w:val="00920FA0"/>
    <w:rsid w:val="00922910"/>
    <w:rsid w:val="00925AA1"/>
    <w:rsid w:val="00973DC1"/>
    <w:rsid w:val="00980D71"/>
    <w:rsid w:val="009855FE"/>
    <w:rsid w:val="00995E70"/>
    <w:rsid w:val="009B0502"/>
    <w:rsid w:val="009B1A4C"/>
    <w:rsid w:val="009C2B96"/>
    <w:rsid w:val="009D5948"/>
    <w:rsid w:val="009E4832"/>
    <w:rsid w:val="00A000A6"/>
    <w:rsid w:val="00A02DCE"/>
    <w:rsid w:val="00A277E4"/>
    <w:rsid w:val="00A52C45"/>
    <w:rsid w:val="00A70277"/>
    <w:rsid w:val="00A83879"/>
    <w:rsid w:val="00AA089F"/>
    <w:rsid w:val="00AB1FD4"/>
    <w:rsid w:val="00AB5342"/>
    <w:rsid w:val="00AD3F8F"/>
    <w:rsid w:val="00AE03E6"/>
    <w:rsid w:val="00B0423D"/>
    <w:rsid w:val="00B14807"/>
    <w:rsid w:val="00B164C9"/>
    <w:rsid w:val="00B244CD"/>
    <w:rsid w:val="00B266FA"/>
    <w:rsid w:val="00B35DF5"/>
    <w:rsid w:val="00B57417"/>
    <w:rsid w:val="00B70004"/>
    <w:rsid w:val="00B72CEA"/>
    <w:rsid w:val="00B93CBC"/>
    <w:rsid w:val="00B971BC"/>
    <w:rsid w:val="00BA4894"/>
    <w:rsid w:val="00BA4D1D"/>
    <w:rsid w:val="00BB22A3"/>
    <w:rsid w:val="00BB5A81"/>
    <w:rsid w:val="00BE482C"/>
    <w:rsid w:val="00BF693E"/>
    <w:rsid w:val="00C32EDD"/>
    <w:rsid w:val="00C5386E"/>
    <w:rsid w:val="00C751D4"/>
    <w:rsid w:val="00C86EF6"/>
    <w:rsid w:val="00C952C2"/>
    <w:rsid w:val="00CA71DE"/>
    <w:rsid w:val="00CB1C9B"/>
    <w:rsid w:val="00CF0653"/>
    <w:rsid w:val="00D362FD"/>
    <w:rsid w:val="00D36869"/>
    <w:rsid w:val="00D44774"/>
    <w:rsid w:val="00D712E0"/>
    <w:rsid w:val="00D7436E"/>
    <w:rsid w:val="00D74F38"/>
    <w:rsid w:val="00D824D3"/>
    <w:rsid w:val="00DA263D"/>
    <w:rsid w:val="00DB52A8"/>
    <w:rsid w:val="00DC6295"/>
    <w:rsid w:val="00DD2E26"/>
    <w:rsid w:val="00E13CD0"/>
    <w:rsid w:val="00E265BA"/>
    <w:rsid w:val="00E344A6"/>
    <w:rsid w:val="00E44D64"/>
    <w:rsid w:val="00E52F48"/>
    <w:rsid w:val="00E8148A"/>
    <w:rsid w:val="00E965BF"/>
    <w:rsid w:val="00E97D10"/>
    <w:rsid w:val="00EA1F7E"/>
    <w:rsid w:val="00EC5B2B"/>
    <w:rsid w:val="00F10A26"/>
    <w:rsid w:val="00F15637"/>
    <w:rsid w:val="00F25FFC"/>
    <w:rsid w:val="00F37CA4"/>
    <w:rsid w:val="00F5443D"/>
    <w:rsid w:val="00F70192"/>
    <w:rsid w:val="00FD15BE"/>
    <w:rsid w:val="00FD23B1"/>
    <w:rsid w:val="00FD3717"/>
    <w:rsid w:val="00FD62F7"/>
    <w:rsid w:val="1DFC647B"/>
    <w:rsid w:val="36153A4C"/>
    <w:rsid w:val="5800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autoRedefine/>
    <w:qFormat/>
    <w:uiPriority w:val="99"/>
  </w:style>
  <w:style w:type="character" w:customStyle="1" w:styleId="8">
    <w:name w:val="页眉 Char"/>
    <w:basedOn w:val="6"/>
    <w:link w:val="3"/>
    <w:uiPriority w:val="99"/>
    <w:rPr>
      <w:sz w:val="18"/>
      <w:szCs w:val="18"/>
    </w:rPr>
  </w:style>
  <w:style w:type="character" w:customStyle="1" w:styleId="9">
    <w:name w:val="页脚 Char"/>
    <w:basedOn w:val="6"/>
    <w:link w:val="2"/>
    <w:autoRedefine/>
    <w:qFormat/>
    <w:uiPriority w:val="99"/>
    <w:rPr>
      <w:sz w:val="18"/>
      <w:szCs w:val="18"/>
    </w:rPr>
  </w:style>
  <w:style w:type="character" w:customStyle="1" w:styleId="10">
    <w:name w:val="b-free-read-leaf"/>
    <w:basedOn w:val="6"/>
    <w:uiPriority w:val="0"/>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362A-3814-4450-894E-212518496014}">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3134</Words>
  <Characters>3156</Characters>
  <Lines>22</Lines>
  <Paragraphs>6</Paragraphs>
  <TotalTime>110</TotalTime>
  <ScaleCrop>false</ScaleCrop>
  <LinksUpToDate>false</LinksUpToDate>
  <CharactersWithSpaces>3174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祖伟 申</dc:creator>
  <cp:lastModifiedBy>木子</cp:lastModifiedBy>
  <cp:lastPrinted>2024-05-15T08:34:00Z</cp:lastPrinted>
  <dcterms:modified xsi:type="dcterms:W3CDTF">2024-05-27T06:40:21Z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566566113C9841D488025976A2560E5C_13</vt:lpwstr>
  </property>
</Properties>
</file>