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ind w:left="0" w:firstLine="42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六安市叶集区市场监督管理局2020年</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ind w:left="0" w:firstLine="420"/>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政府信息公开工作年报</w:t>
      </w:r>
      <w:r>
        <w:br w:type="textWrapping"/>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ind w:lef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依据《六安市叶集区人民政府关于做好政府信息公开年度报告编制工作的通知》（叶政办秘〔2020〕1号），现编制2020年度政府信息公开工作年度报告。全文共包括主动公开、依申请公开、政府信息管理、平台建设、监督保障等方面的公开情况进行总结。本年度报告中使用数据统计期限为2020年1月1日至2020年12月31日，本年度报告电子版可在六安市叶集区市场监督管理局信息公开平台下载。如对本报告有任何疑问，请与六安市叶集区市场监督管理局联系（地址：六安市叶集区行政服务中心6楼，联系电话：0564-6488637， </w:t>
      </w:r>
      <w:r>
        <w:rPr>
          <w:rFonts w:hint="eastAsia" w:ascii="仿宋_GB2312" w:hAnsi="仿宋_GB2312" w:eastAsia="仿宋_GB2312" w:cs="仿宋_GB2312"/>
          <w:caps w:val="0"/>
          <w:color w:val="333333"/>
          <w:spacing w:val="0"/>
          <w:sz w:val="32"/>
          <w:szCs w:val="32"/>
          <w:shd w:val="clear" w:fill="FFFFFF"/>
        </w:rPr>
        <w:t>邮编：237431</w:t>
      </w:r>
      <w:r>
        <w:rPr>
          <w:rFonts w:hint="eastAsia" w:ascii="仿宋_GB2312" w:hAnsi="仿宋_GB2312" w:eastAsia="仿宋_GB2312" w:cs="仿宋_GB2312"/>
          <w:sz w:val="32"/>
          <w:szCs w:val="32"/>
        </w:rPr>
        <w:t xml:space="preserve"> ）</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ind w:left="0" w:firstLine="420"/>
        <w:jc w:val="both"/>
        <w:textAlignment w:val="auto"/>
        <w:rPr>
          <w:rFonts w:hint="eastAsia" w:ascii="黑体" w:hAnsi="黑体" w:eastAsia="黑体" w:cs="黑体"/>
          <w:sz w:val="32"/>
          <w:szCs w:val="32"/>
        </w:rPr>
      </w:pPr>
      <w:r>
        <w:rPr>
          <w:rFonts w:hint="eastAsia" w:ascii="黑体" w:hAnsi="黑体" w:eastAsia="黑体" w:cs="黑体"/>
          <w:sz w:val="32"/>
          <w:szCs w:val="32"/>
        </w:rPr>
        <w:t>一、总体情况</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ind w:left="0" w:firstLine="420"/>
        <w:jc w:val="both"/>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（一）主动公开情况。</w:t>
      </w:r>
      <w:r>
        <w:rPr>
          <w:rFonts w:hint="eastAsia" w:ascii="仿宋_GB2312" w:hAnsi="仿宋_GB2312" w:eastAsia="仿宋_GB2312" w:cs="仿宋_GB2312"/>
          <w:sz w:val="32"/>
          <w:szCs w:val="32"/>
        </w:rPr>
        <w:t>本年度我局主动公开共计446条，及时变更机构设置、人事信息、权责清单变更、工作开展动态等。同时，针对群众关注度较高的食品药品安全、价格与收费、“双随机、一公开”进行专栏设置并及时维护，本年度重点领域公开发布共计93条，其中包括食品抽检56条，食品药品日常监督检查13条，专项整治12条等。</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ind w:left="0" w:firstLine="420"/>
        <w:jc w:val="both"/>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（二）依申请公开。</w:t>
      </w:r>
      <w:r>
        <w:rPr>
          <w:rFonts w:hint="eastAsia" w:ascii="仿宋_GB2312" w:hAnsi="仿宋_GB2312" w:eastAsia="仿宋_GB2312" w:cs="仿宋_GB2312"/>
          <w:sz w:val="32"/>
          <w:szCs w:val="32"/>
        </w:rPr>
        <w:t>结合《国务院办公厅关于做好政府信息依申请公开工作的意见》，加强依申请公开规范性建设，完善依申请公开流程和模板，方便群众下载、填报。本年度我局共收到依申请公开1条，已按照规定进行公开，办结率100%。</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ind w:left="0" w:firstLine="420"/>
        <w:jc w:val="both"/>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（三）政府信息管理。</w:t>
      </w:r>
      <w:r>
        <w:rPr>
          <w:rFonts w:hint="eastAsia" w:ascii="仿宋_GB2312" w:hAnsi="仿宋_GB2312" w:eastAsia="仿宋_GB2312" w:cs="仿宋_GB2312"/>
          <w:sz w:val="32"/>
          <w:szCs w:val="32"/>
        </w:rPr>
        <w:t>积极配合政务公开办工作，一方面专人维护政府信息，做好食品药品、行政许可、行政处罚等专栏的维护。做好行政服务指南的更新，完善办理流程和所需材料，并提供下载途径，为群众办事提供便利；另一方面，积极参与政务公开的集中办公和培训，加强业务能力，提升专业素养，进一步做好政务公开的规范建设。</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ind w:left="0" w:firstLine="420"/>
        <w:jc w:val="both"/>
        <w:textAlignment w:val="auto"/>
        <w:rPr>
          <w:rFonts w:hint="eastAsia" w:ascii="仿宋_GB2312" w:hAnsi="仿宋_GB2312" w:eastAsia="仿宋_GB2312" w:cs="仿宋_GB2312"/>
          <w:sz w:val="32"/>
          <w:szCs w:val="32"/>
        </w:rPr>
      </w:pPr>
      <w:r>
        <w:rPr>
          <w:rFonts w:hint="eastAsia" w:ascii="楷体" w:hAnsi="楷体" w:eastAsia="楷体" w:cs="楷体"/>
          <w:sz w:val="32"/>
          <w:szCs w:val="32"/>
        </w:rPr>
        <w:t>（四）平台建设情况</w:t>
      </w:r>
      <w:r>
        <w:rPr>
          <w:rFonts w:hint="eastAsia" w:ascii="仿宋_GB2312" w:hAnsi="仿宋_GB2312" w:eastAsia="仿宋_GB2312" w:cs="仿宋_GB2312"/>
          <w:sz w:val="32"/>
          <w:szCs w:val="32"/>
        </w:rPr>
        <w:t>。2020年度配合区政务公开版建立“两化”栏目，完善食品药品监管信息，同时提供行政审批服务指南。同时，根据政府每月整改清单，及时进行月度整改，并将整改清单进行公开，接受群众监督。</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ind w:left="0" w:firstLine="420"/>
        <w:jc w:val="both"/>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（五）监督保障</w:t>
      </w:r>
      <w:r>
        <w:rPr>
          <w:rFonts w:hint="eastAsia" w:ascii="仿宋_GB2312" w:hAnsi="仿宋_GB2312" w:eastAsia="仿宋_GB2312" w:cs="仿宋_GB2312"/>
          <w:sz w:val="32"/>
          <w:szCs w:val="32"/>
        </w:rPr>
        <w:t>。一方面，加强公开制度保障。制定并印发了《六安市叶集区市场监督管理局关于印发2020年政务公开重点工作任务分工的通知》（叶市监〔2020〕64号）。明确政务公开工作任务，推进我单位政务公开工作顺利进行。另一方面，接受公众监督。及时更新股室负责人以及投诉举报电话，时刻接受群众监督，听取群众建议。</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ind w:left="0" w:firstLine="420"/>
        <w:jc w:val="both"/>
        <w:textAlignment w:val="auto"/>
        <w:rPr>
          <w:rFonts w:hint="eastAsia" w:ascii="黑体" w:hAnsi="黑体" w:eastAsia="黑体" w:cs="黑体"/>
          <w:sz w:val="32"/>
          <w:szCs w:val="32"/>
        </w:rPr>
      </w:pPr>
      <w:r>
        <w:rPr>
          <w:rFonts w:hint="eastAsia" w:ascii="黑体" w:hAnsi="黑体" w:eastAsia="黑体" w:cs="黑体"/>
          <w:sz w:val="32"/>
          <w:szCs w:val="32"/>
        </w:rPr>
        <w:t>二、主动公开政府信息情况</w:t>
      </w:r>
    </w:p>
    <w:tbl>
      <w:tblPr>
        <w:tblStyle w:val="3"/>
        <w:tblW w:w="0" w:type="auto"/>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460"/>
        <w:gridCol w:w="1740"/>
        <w:gridCol w:w="1740"/>
        <w:gridCol w:w="17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41" w:hRule="atLeast"/>
          <w:tblCellSpacing w:w="0" w:type="dxa"/>
        </w:trPr>
        <w:tc>
          <w:tcPr>
            <w:tcW w:w="0" w:type="auto"/>
            <w:gridSpan w:val="4"/>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第二十条第（一）项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41" w:hRule="atLeast"/>
          <w:tblCellSpacing w:w="0" w:type="dxa"/>
        </w:trPr>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信息内容</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本年新制作数量</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本年新公开数量</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对外公开总数量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41" w:hRule="atLeast"/>
          <w:tblCellSpacing w:w="0" w:type="dxa"/>
        </w:trPr>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规章</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41" w:hRule="atLeast"/>
          <w:tblCellSpacing w:w="0" w:type="dxa"/>
        </w:trPr>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规范性文件</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0</w:t>
            </w:r>
            <w:bookmarkStart w:id="0" w:name="_GoBack"/>
            <w:bookmarkEnd w:id="0"/>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41" w:hRule="atLeast"/>
          <w:tblCellSpacing w:w="0" w:type="dxa"/>
        </w:trPr>
        <w:tc>
          <w:tcPr>
            <w:tcW w:w="0" w:type="auto"/>
            <w:gridSpan w:val="4"/>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第二十五条第（五）项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41" w:hRule="atLeast"/>
          <w:tblCellSpacing w:w="0" w:type="dxa"/>
        </w:trPr>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信息内容</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上一年项目数量</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本年增/减</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决定处理数量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41" w:hRule="atLeast"/>
          <w:tblCellSpacing w:w="0" w:type="dxa"/>
        </w:trPr>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行政许可</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7</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Autospacing="0" w:line="576" w:lineRule="exact"/>
              <w:jc w:val="left"/>
              <w:textAlignment w:val="auto"/>
              <w:rPr>
                <w:rFonts w:hint="eastAsia" w:ascii="黑体" w:hAnsi="黑体" w:eastAsia="黑体" w:cs="黑体"/>
                <w:sz w:val="24"/>
                <w:szCs w:val="24"/>
              </w:rPr>
            </w:pPr>
            <w:r>
              <w:rPr>
                <w:rFonts w:hint="eastAsia" w:ascii="黑体" w:hAnsi="黑体" w:eastAsia="黑体" w:cs="黑体"/>
                <w:kern w:val="0"/>
                <w:sz w:val="24"/>
                <w:szCs w:val="24"/>
                <w:lang w:val="en-US" w:eastAsia="zh-CN" w:bidi="ar"/>
              </w:rPr>
              <w:t>0</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Autospacing="0" w:line="576" w:lineRule="exact"/>
              <w:jc w:val="left"/>
              <w:textAlignment w:val="auto"/>
              <w:rPr>
                <w:rFonts w:hint="eastAsia" w:ascii="黑体" w:hAnsi="黑体" w:eastAsia="黑体" w:cs="黑体"/>
                <w:sz w:val="24"/>
                <w:szCs w:val="24"/>
              </w:rPr>
            </w:pPr>
            <w:r>
              <w:rPr>
                <w:rFonts w:hint="eastAsia" w:ascii="黑体" w:hAnsi="黑体" w:eastAsia="黑体" w:cs="黑体"/>
                <w:kern w:val="0"/>
                <w:sz w:val="24"/>
                <w:szCs w:val="24"/>
                <w:lang w:val="en-US" w:eastAsia="zh-CN" w:bidi="ar"/>
              </w:rPr>
              <w:t>5736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41" w:hRule="atLeast"/>
          <w:tblCellSpacing w:w="0" w:type="dxa"/>
        </w:trPr>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其他对外管理服务事项</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41" w:hRule="atLeast"/>
          <w:tblCellSpacing w:w="0" w:type="dxa"/>
        </w:trPr>
        <w:tc>
          <w:tcPr>
            <w:tcW w:w="0" w:type="auto"/>
            <w:gridSpan w:val="4"/>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第二十条第（六）项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41" w:hRule="atLeast"/>
          <w:tblCellSpacing w:w="0" w:type="dxa"/>
        </w:trPr>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信息内容</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上一年项目数量</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本年增/减</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决定处理数量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41" w:hRule="atLeast"/>
          <w:tblCellSpacing w:w="0" w:type="dxa"/>
        </w:trPr>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行政处罚</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Autospacing="0" w:line="576" w:lineRule="exact"/>
              <w:jc w:val="left"/>
              <w:textAlignment w:val="auto"/>
              <w:rPr>
                <w:rFonts w:hint="eastAsia" w:ascii="黑体" w:hAnsi="黑体" w:eastAsia="黑体" w:cs="黑体"/>
                <w:sz w:val="24"/>
                <w:szCs w:val="24"/>
              </w:rPr>
            </w:pPr>
            <w:r>
              <w:rPr>
                <w:rFonts w:hint="eastAsia" w:ascii="黑体" w:hAnsi="黑体" w:eastAsia="黑体" w:cs="黑体"/>
                <w:kern w:val="0"/>
                <w:sz w:val="24"/>
                <w:szCs w:val="24"/>
                <w:lang w:val="en-US" w:eastAsia="zh-CN" w:bidi="ar"/>
              </w:rPr>
              <w:t>673</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Autospacing="0" w:line="576" w:lineRule="exact"/>
              <w:jc w:val="left"/>
              <w:textAlignment w:val="auto"/>
              <w:rPr>
                <w:rFonts w:hint="eastAsia" w:ascii="黑体" w:hAnsi="黑体" w:eastAsia="黑体" w:cs="黑体"/>
                <w:sz w:val="24"/>
                <w:szCs w:val="24"/>
              </w:rPr>
            </w:pPr>
            <w:r>
              <w:rPr>
                <w:rFonts w:hint="eastAsia" w:ascii="黑体" w:hAnsi="黑体" w:eastAsia="黑体" w:cs="黑体"/>
                <w:kern w:val="0"/>
                <w:sz w:val="24"/>
                <w:szCs w:val="24"/>
                <w:lang w:val="en-US" w:eastAsia="zh-CN" w:bidi="ar"/>
              </w:rPr>
              <w:t>0</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Autospacing="0" w:line="576" w:lineRule="exact"/>
              <w:jc w:val="left"/>
              <w:textAlignment w:val="auto"/>
              <w:rPr>
                <w:rFonts w:hint="eastAsia" w:ascii="黑体" w:hAnsi="黑体" w:eastAsia="黑体" w:cs="黑体"/>
                <w:sz w:val="24"/>
                <w:szCs w:val="24"/>
              </w:rPr>
            </w:pPr>
            <w:r>
              <w:rPr>
                <w:rFonts w:hint="eastAsia" w:ascii="黑体" w:hAnsi="黑体" w:eastAsia="黑体" w:cs="黑体"/>
                <w:kern w:val="0"/>
                <w:sz w:val="24"/>
                <w:szCs w:val="24"/>
                <w:lang w:val="en-US" w:eastAsia="zh-CN" w:bidi="ar"/>
              </w:rPr>
              <w:t>199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41" w:hRule="atLeast"/>
          <w:tblCellSpacing w:w="0" w:type="dxa"/>
        </w:trPr>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行政强制</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Autospacing="0" w:line="576" w:lineRule="exact"/>
              <w:jc w:val="left"/>
              <w:textAlignment w:val="auto"/>
              <w:rPr>
                <w:rFonts w:hint="eastAsia" w:ascii="黑体" w:hAnsi="黑体" w:eastAsia="黑体" w:cs="黑体"/>
                <w:sz w:val="24"/>
                <w:szCs w:val="24"/>
              </w:rPr>
            </w:pPr>
            <w:r>
              <w:rPr>
                <w:rFonts w:hint="eastAsia" w:ascii="黑体" w:hAnsi="黑体" w:eastAsia="黑体" w:cs="黑体"/>
                <w:kern w:val="0"/>
                <w:sz w:val="24"/>
                <w:szCs w:val="24"/>
                <w:lang w:val="en-US" w:eastAsia="zh-CN" w:bidi="ar"/>
              </w:rPr>
              <w:t>8</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Autospacing="0" w:line="576" w:lineRule="exact"/>
              <w:jc w:val="left"/>
              <w:textAlignment w:val="auto"/>
              <w:rPr>
                <w:rFonts w:hint="eastAsia" w:ascii="黑体" w:hAnsi="黑体" w:eastAsia="黑体" w:cs="黑体"/>
                <w:sz w:val="24"/>
                <w:szCs w:val="24"/>
              </w:rPr>
            </w:pPr>
            <w:r>
              <w:rPr>
                <w:rFonts w:hint="eastAsia" w:ascii="黑体" w:hAnsi="黑体" w:eastAsia="黑体" w:cs="黑体"/>
                <w:kern w:val="0"/>
                <w:sz w:val="24"/>
                <w:szCs w:val="24"/>
                <w:lang w:val="en-US" w:eastAsia="zh-CN" w:bidi="ar"/>
              </w:rPr>
              <w:t>0</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Autospacing="0" w:line="576" w:lineRule="exact"/>
              <w:jc w:val="left"/>
              <w:textAlignment w:val="auto"/>
              <w:rPr>
                <w:rFonts w:hint="eastAsia" w:ascii="黑体" w:hAnsi="黑体" w:eastAsia="黑体" w:cs="黑体"/>
                <w:sz w:val="24"/>
                <w:szCs w:val="24"/>
              </w:rPr>
            </w:pPr>
            <w:r>
              <w:rPr>
                <w:rFonts w:hint="eastAsia" w:ascii="黑体" w:hAnsi="黑体" w:eastAsia="黑体" w:cs="黑体"/>
                <w:kern w:val="0"/>
                <w:sz w:val="24"/>
                <w:szCs w:val="24"/>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41" w:hRule="atLeast"/>
          <w:tblCellSpacing w:w="0" w:type="dxa"/>
        </w:trPr>
        <w:tc>
          <w:tcPr>
            <w:tcW w:w="0" w:type="auto"/>
            <w:gridSpan w:val="4"/>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第二十条第（八）项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41" w:hRule="atLeast"/>
          <w:tblCellSpacing w:w="0" w:type="dxa"/>
        </w:trPr>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信息内容</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上一年项目数量</w:t>
            </w:r>
          </w:p>
        </w:tc>
        <w:tc>
          <w:tcPr>
            <w:tcW w:w="0" w:type="auto"/>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本年增/减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41" w:hRule="atLeast"/>
          <w:tblCellSpacing w:w="0" w:type="dxa"/>
        </w:trPr>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行政事业性收费</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41" w:hRule="atLeast"/>
          <w:tblCellSpacing w:w="0" w:type="dxa"/>
        </w:trPr>
        <w:tc>
          <w:tcPr>
            <w:tcW w:w="0" w:type="auto"/>
            <w:gridSpan w:val="4"/>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第二十条第（九）项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41" w:hRule="atLeast"/>
          <w:tblCellSpacing w:w="0" w:type="dxa"/>
        </w:trPr>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信息内容</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采购项目数量</w:t>
            </w:r>
          </w:p>
        </w:tc>
        <w:tc>
          <w:tcPr>
            <w:tcW w:w="0" w:type="auto"/>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采购总金额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41" w:hRule="atLeast"/>
          <w:tblCellSpacing w:w="0" w:type="dxa"/>
        </w:trPr>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政府集中采购</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r>
    </w:tbl>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ind w:left="0" w:firstLine="420"/>
        <w:jc w:val="both"/>
        <w:textAlignment w:val="auto"/>
        <w:rPr>
          <w:rFonts w:hint="eastAsia" w:ascii="黑体" w:hAnsi="黑体" w:eastAsia="黑体" w:cs="黑体"/>
          <w:sz w:val="32"/>
          <w:szCs w:val="32"/>
        </w:rPr>
      </w:pPr>
      <w:r>
        <w:rPr>
          <w:rFonts w:hint="eastAsia" w:ascii="黑体" w:hAnsi="黑体" w:eastAsia="黑体" w:cs="黑体"/>
          <w:sz w:val="32"/>
          <w:szCs w:val="32"/>
        </w:rPr>
        <w:t>三、收到和处理政府信息公开申请情况</w:t>
      </w:r>
    </w:p>
    <w:tbl>
      <w:tblPr>
        <w:tblStyle w:val="3"/>
        <w:tblW w:w="0" w:type="auto"/>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211"/>
        <w:gridCol w:w="1210"/>
        <w:gridCol w:w="2294"/>
        <w:gridCol w:w="492"/>
        <w:gridCol w:w="396"/>
        <w:gridCol w:w="396"/>
        <w:gridCol w:w="780"/>
        <w:gridCol w:w="780"/>
        <w:gridCol w:w="396"/>
        <w:gridCol w:w="39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0" w:type="auto"/>
            <w:gridSpan w:val="3"/>
            <w:vMerge w:val="restart"/>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（本列数据的勾稽关系为：第一项加第二项之和，等于第三项加第四项之和）</w:t>
            </w:r>
          </w:p>
        </w:tc>
        <w:tc>
          <w:tcPr>
            <w:tcW w:w="0" w:type="auto"/>
            <w:gridSpan w:val="7"/>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申请人情况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0" w:type="auto"/>
            <w:gridSpan w:val="3"/>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afterAutospacing="0" w:line="576" w:lineRule="exact"/>
              <w:textAlignment w:val="auto"/>
              <w:rPr>
                <w:rFonts w:hint="eastAsia" w:ascii="黑体" w:hAnsi="黑体" w:eastAsia="黑体" w:cs="黑体"/>
                <w:sz w:val="24"/>
                <w:szCs w:val="24"/>
              </w:rPr>
            </w:pPr>
          </w:p>
        </w:tc>
        <w:tc>
          <w:tcPr>
            <w:tcW w:w="0" w:type="auto"/>
            <w:vMerge w:val="restart"/>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自然人</w:t>
            </w:r>
          </w:p>
        </w:tc>
        <w:tc>
          <w:tcPr>
            <w:tcW w:w="0" w:type="auto"/>
            <w:gridSpan w:val="5"/>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法人或其他组织</w:t>
            </w:r>
          </w:p>
        </w:tc>
        <w:tc>
          <w:tcPr>
            <w:tcW w:w="0" w:type="auto"/>
            <w:vMerge w:val="restart"/>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0" w:type="auto"/>
            <w:gridSpan w:val="3"/>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afterAutospacing="0" w:line="576" w:lineRule="exact"/>
              <w:textAlignment w:val="auto"/>
              <w:rPr>
                <w:rFonts w:hint="eastAsia" w:ascii="黑体" w:hAnsi="黑体" w:eastAsia="黑体" w:cs="黑体"/>
                <w:sz w:val="24"/>
                <w:szCs w:val="24"/>
              </w:rPr>
            </w:pPr>
          </w:p>
        </w:tc>
        <w:tc>
          <w:tcPr>
            <w:tcW w:w="0" w:type="auto"/>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afterAutospacing="0" w:line="576" w:lineRule="exact"/>
              <w:textAlignment w:val="auto"/>
              <w:rPr>
                <w:rFonts w:hint="eastAsia" w:ascii="黑体" w:hAnsi="黑体" w:eastAsia="黑体" w:cs="黑体"/>
                <w:sz w:val="24"/>
                <w:szCs w:val="24"/>
              </w:rPr>
            </w:pP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商业</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企业</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科研</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机构</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社会公益组织</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法律服务机构</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其他</w:t>
            </w:r>
          </w:p>
        </w:tc>
        <w:tc>
          <w:tcPr>
            <w:tcW w:w="0" w:type="auto"/>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afterAutospacing="0" w:line="576" w:lineRule="exact"/>
              <w:textAlignment w:val="auto"/>
              <w:rPr>
                <w:rFonts w:hint="eastAsia" w:ascii="黑体" w:hAnsi="黑体" w:eastAsia="黑体" w:cs="黑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0" w:type="auto"/>
            <w:gridSpan w:val="3"/>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一、本年新收政府信息公开申请数量</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1</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0" w:type="auto"/>
            <w:gridSpan w:val="3"/>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二、上年结转政府信息公开申请数量</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0" w:type="auto"/>
            <w:vMerge w:val="restart"/>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三、本年度办理结果</w:t>
            </w:r>
          </w:p>
        </w:tc>
        <w:tc>
          <w:tcPr>
            <w:tcW w:w="0" w:type="auto"/>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（一）予以公开</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1</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0" w:type="auto"/>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afterAutospacing="0" w:line="576" w:lineRule="exact"/>
              <w:textAlignment w:val="auto"/>
              <w:rPr>
                <w:rFonts w:hint="eastAsia" w:ascii="黑体" w:hAnsi="黑体" w:eastAsia="黑体" w:cs="黑体"/>
                <w:sz w:val="24"/>
                <w:szCs w:val="24"/>
              </w:rPr>
            </w:pPr>
          </w:p>
        </w:tc>
        <w:tc>
          <w:tcPr>
            <w:tcW w:w="0" w:type="auto"/>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（二）部分公开（区分处理的，只计这一情形，不计其他情形）</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0" w:type="auto"/>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afterAutospacing="0" w:line="576" w:lineRule="exact"/>
              <w:textAlignment w:val="auto"/>
              <w:rPr>
                <w:rFonts w:hint="eastAsia" w:ascii="黑体" w:hAnsi="黑体" w:eastAsia="黑体" w:cs="黑体"/>
                <w:sz w:val="24"/>
                <w:szCs w:val="24"/>
              </w:rPr>
            </w:pPr>
          </w:p>
        </w:tc>
        <w:tc>
          <w:tcPr>
            <w:tcW w:w="0" w:type="auto"/>
            <w:vMerge w:val="restart"/>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（三）不予公开</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1.属于国家秘密</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0" w:type="auto"/>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afterAutospacing="0" w:line="576" w:lineRule="exact"/>
              <w:textAlignment w:val="auto"/>
              <w:rPr>
                <w:rFonts w:hint="eastAsia" w:ascii="黑体" w:hAnsi="黑体" w:eastAsia="黑体" w:cs="黑体"/>
                <w:sz w:val="24"/>
                <w:szCs w:val="24"/>
              </w:rPr>
            </w:pPr>
          </w:p>
        </w:tc>
        <w:tc>
          <w:tcPr>
            <w:tcW w:w="0" w:type="auto"/>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afterAutospacing="0" w:line="576" w:lineRule="exact"/>
              <w:textAlignment w:val="auto"/>
              <w:rPr>
                <w:rFonts w:hint="eastAsia" w:ascii="黑体" w:hAnsi="黑体" w:eastAsia="黑体" w:cs="黑体"/>
                <w:sz w:val="24"/>
                <w:szCs w:val="24"/>
              </w:rPr>
            </w:pP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2.其他法律行政法规禁止公开</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0" w:type="auto"/>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afterAutospacing="0" w:line="576" w:lineRule="exact"/>
              <w:textAlignment w:val="auto"/>
              <w:rPr>
                <w:rFonts w:hint="eastAsia" w:ascii="黑体" w:hAnsi="黑体" w:eastAsia="黑体" w:cs="黑体"/>
                <w:sz w:val="24"/>
                <w:szCs w:val="24"/>
              </w:rPr>
            </w:pPr>
          </w:p>
        </w:tc>
        <w:tc>
          <w:tcPr>
            <w:tcW w:w="0" w:type="auto"/>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afterAutospacing="0" w:line="576" w:lineRule="exact"/>
              <w:textAlignment w:val="auto"/>
              <w:rPr>
                <w:rFonts w:hint="eastAsia" w:ascii="黑体" w:hAnsi="黑体" w:eastAsia="黑体" w:cs="黑体"/>
                <w:sz w:val="24"/>
                <w:szCs w:val="24"/>
              </w:rPr>
            </w:pP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3.危及“三安全一稳定”</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0" w:type="auto"/>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afterAutospacing="0" w:line="576" w:lineRule="exact"/>
              <w:textAlignment w:val="auto"/>
              <w:rPr>
                <w:rFonts w:hint="eastAsia" w:ascii="黑体" w:hAnsi="黑体" w:eastAsia="黑体" w:cs="黑体"/>
                <w:sz w:val="24"/>
                <w:szCs w:val="24"/>
              </w:rPr>
            </w:pPr>
          </w:p>
        </w:tc>
        <w:tc>
          <w:tcPr>
            <w:tcW w:w="0" w:type="auto"/>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afterAutospacing="0" w:line="576" w:lineRule="exact"/>
              <w:textAlignment w:val="auto"/>
              <w:rPr>
                <w:rFonts w:hint="eastAsia" w:ascii="黑体" w:hAnsi="黑体" w:eastAsia="黑体" w:cs="黑体"/>
                <w:sz w:val="24"/>
                <w:szCs w:val="24"/>
              </w:rPr>
            </w:pP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4.保护第三方合法权益</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0" w:type="auto"/>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afterAutospacing="0" w:line="576" w:lineRule="exact"/>
              <w:textAlignment w:val="auto"/>
              <w:rPr>
                <w:rFonts w:hint="eastAsia" w:ascii="黑体" w:hAnsi="黑体" w:eastAsia="黑体" w:cs="黑体"/>
                <w:sz w:val="24"/>
                <w:szCs w:val="24"/>
              </w:rPr>
            </w:pPr>
          </w:p>
        </w:tc>
        <w:tc>
          <w:tcPr>
            <w:tcW w:w="0" w:type="auto"/>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afterAutospacing="0" w:line="576" w:lineRule="exact"/>
              <w:textAlignment w:val="auto"/>
              <w:rPr>
                <w:rFonts w:hint="eastAsia" w:ascii="黑体" w:hAnsi="黑体" w:eastAsia="黑体" w:cs="黑体"/>
                <w:sz w:val="24"/>
                <w:szCs w:val="24"/>
              </w:rPr>
            </w:pP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5.属于三类内部事务信息</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0" w:type="auto"/>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afterAutospacing="0" w:line="576" w:lineRule="exact"/>
              <w:textAlignment w:val="auto"/>
              <w:rPr>
                <w:rFonts w:hint="eastAsia" w:ascii="黑体" w:hAnsi="黑体" w:eastAsia="黑体" w:cs="黑体"/>
                <w:sz w:val="24"/>
                <w:szCs w:val="24"/>
              </w:rPr>
            </w:pPr>
          </w:p>
        </w:tc>
        <w:tc>
          <w:tcPr>
            <w:tcW w:w="0" w:type="auto"/>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afterAutospacing="0" w:line="576" w:lineRule="exact"/>
              <w:textAlignment w:val="auto"/>
              <w:rPr>
                <w:rFonts w:hint="eastAsia" w:ascii="黑体" w:hAnsi="黑体" w:eastAsia="黑体" w:cs="黑体"/>
                <w:sz w:val="24"/>
                <w:szCs w:val="24"/>
              </w:rPr>
            </w:pP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6.属于四类过程性信息</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0" w:type="auto"/>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afterAutospacing="0" w:line="576" w:lineRule="exact"/>
              <w:textAlignment w:val="auto"/>
              <w:rPr>
                <w:rFonts w:hint="eastAsia" w:ascii="黑体" w:hAnsi="黑体" w:eastAsia="黑体" w:cs="黑体"/>
                <w:sz w:val="24"/>
                <w:szCs w:val="24"/>
              </w:rPr>
            </w:pPr>
          </w:p>
        </w:tc>
        <w:tc>
          <w:tcPr>
            <w:tcW w:w="0" w:type="auto"/>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afterAutospacing="0" w:line="576" w:lineRule="exact"/>
              <w:textAlignment w:val="auto"/>
              <w:rPr>
                <w:rFonts w:hint="eastAsia" w:ascii="黑体" w:hAnsi="黑体" w:eastAsia="黑体" w:cs="黑体"/>
                <w:sz w:val="24"/>
                <w:szCs w:val="24"/>
              </w:rPr>
            </w:pP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7.属于行政执法案卷</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0" w:type="auto"/>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afterAutospacing="0" w:line="576" w:lineRule="exact"/>
              <w:textAlignment w:val="auto"/>
              <w:rPr>
                <w:rFonts w:hint="eastAsia" w:ascii="黑体" w:hAnsi="黑体" w:eastAsia="黑体" w:cs="黑体"/>
                <w:sz w:val="24"/>
                <w:szCs w:val="24"/>
              </w:rPr>
            </w:pPr>
          </w:p>
        </w:tc>
        <w:tc>
          <w:tcPr>
            <w:tcW w:w="0" w:type="auto"/>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afterAutospacing="0" w:line="576" w:lineRule="exact"/>
              <w:textAlignment w:val="auto"/>
              <w:rPr>
                <w:rFonts w:hint="eastAsia" w:ascii="黑体" w:hAnsi="黑体" w:eastAsia="黑体" w:cs="黑体"/>
                <w:sz w:val="24"/>
                <w:szCs w:val="24"/>
              </w:rPr>
            </w:pP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8.属于行政查询事项</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0" w:type="auto"/>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afterAutospacing="0" w:line="576" w:lineRule="exact"/>
              <w:textAlignment w:val="auto"/>
              <w:rPr>
                <w:rFonts w:hint="eastAsia" w:ascii="黑体" w:hAnsi="黑体" w:eastAsia="黑体" w:cs="黑体"/>
                <w:sz w:val="24"/>
                <w:szCs w:val="24"/>
              </w:rPr>
            </w:pPr>
          </w:p>
        </w:tc>
        <w:tc>
          <w:tcPr>
            <w:tcW w:w="0" w:type="auto"/>
            <w:vMerge w:val="restart"/>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（四）无法提供</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1.本机关不掌握相关政府信息</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0" w:type="auto"/>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afterAutospacing="0" w:line="576" w:lineRule="exact"/>
              <w:textAlignment w:val="auto"/>
              <w:rPr>
                <w:rFonts w:hint="eastAsia" w:ascii="黑体" w:hAnsi="黑体" w:eastAsia="黑体" w:cs="黑体"/>
                <w:sz w:val="24"/>
                <w:szCs w:val="24"/>
              </w:rPr>
            </w:pPr>
          </w:p>
        </w:tc>
        <w:tc>
          <w:tcPr>
            <w:tcW w:w="0" w:type="auto"/>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afterAutospacing="0" w:line="576" w:lineRule="exact"/>
              <w:textAlignment w:val="auto"/>
              <w:rPr>
                <w:rFonts w:hint="eastAsia" w:ascii="黑体" w:hAnsi="黑体" w:eastAsia="黑体" w:cs="黑体"/>
                <w:sz w:val="24"/>
                <w:szCs w:val="24"/>
              </w:rPr>
            </w:pP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2.没有现成信息需要另行制作</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0" w:type="auto"/>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afterAutospacing="0" w:line="576" w:lineRule="exact"/>
              <w:textAlignment w:val="auto"/>
              <w:rPr>
                <w:rFonts w:hint="eastAsia" w:ascii="黑体" w:hAnsi="黑体" w:eastAsia="黑体" w:cs="黑体"/>
                <w:sz w:val="24"/>
                <w:szCs w:val="24"/>
              </w:rPr>
            </w:pPr>
          </w:p>
        </w:tc>
        <w:tc>
          <w:tcPr>
            <w:tcW w:w="0" w:type="auto"/>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afterAutospacing="0" w:line="576" w:lineRule="exact"/>
              <w:textAlignment w:val="auto"/>
              <w:rPr>
                <w:rFonts w:hint="eastAsia" w:ascii="黑体" w:hAnsi="黑体" w:eastAsia="黑体" w:cs="黑体"/>
                <w:sz w:val="24"/>
                <w:szCs w:val="24"/>
              </w:rPr>
            </w:pP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3.补正后申请内容仍不明确</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0" w:type="auto"/>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afterAutospacing="0" w:line="576" w:lineRule="exact"/>
              <w:textAlignment w:val="auto"/>
              <w:rPr>
                <w:rFonts w:hint="eastAsia" w:ascii="黑体" w:hAnsi="黑体" w:eastAsia="黑体" w:cs="黑体"/>
                <w:sz w:val="24"/>
                <w:szCs w:val="24"/>
              </w:rPr>
            </w:pPr>
          </w:p>
        </w:tc>
        <w:tc>
          <w:tcPr>
            <w:tcW w:w="0" w:type="auto"/>
            <w:vMerge w:val="restart"/>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（五）不予处理</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1.信访举报投诉类申请</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0" w:type="auto"/>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afterAutospacing="0" w:line="576" w:lineRule="exact"/>
              <w:textAlignment w:val="auto"/>
              <w:rPr>
                <w:rFonts w:hint="eastAsia" w:ascii="黑体" w:hAnsi="黑体" w:eastAsia="黑体" w:cs="黑体"/>
                <w:sz w:val="24"/>
                <w:szCs w:val="24"/>
              </w:rPr>
            </w:pPr>
          </w:p>
        </w:tc>
        <w:tc>
          <w:tcPr>
            <w:tcW w:w="0" w:type="auto"/>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afterAutospacing="0" w:line="576" w:lineRule="exact"/>
              <w:textAlignment w:val="auto"/>
              <w:rPr>
                <w:rFonts w:hint="eastAsia" w:ascii="黑体" w:hAnsi="黑体" w:eastAsia="黑体" w:cs="黑体"/>
                <w:sz w:val="24"/>
                <w:szCs w:val="24"/>
              </w:rPr>
            </w:pP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2.重复申请</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0" w:type="auto"/>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afterAutospacing="0" w:line="576" w:lineRule="exact"/>
              <w:textAlignment w:val="auto"/>
              <w:rPr>
                <w:rFonts w:hint="eastAsia" w:ascii="黑体" w:hAnsi="黑体" w:eastAsia="黑体" w:cs="黑体"/>
                <w:sz w:val="24"/>
                <w:szCs w:val="24"/>
              </w:rPr>
            </w:pPr>
          </w:p>
        </w:tc>
        <w:tc>
          <w:tcPr>
            <w:tcW w:w="0" w:type="auto"/>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afterAutospacing="0" w:line="576" w:lineRule="exact"/>
              <w:textAlignment w:val="auto"/>
              <w:rPr>
                <w:rFonts w:hint="eastAsia" w:ascii="黑体" w:hAnsi="黑体" w:eastAsia="黑体" w:cs="黑体"/>
                <w:sz w:val="24"/>
                <w:szCs w:val="24"/>
              </w:rPr>
            </w:pP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3.要求提供公开出版物</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0" w:type="auto"/>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afterAutospacing="0" w:line="576" w:lineRule="exact"/>
              <w:textAlignment w:val="auto"/>
              <w:rPr>
                <w:rFonts w:hint="eastAsia" w:ascii="黑体" w:hAnsi="黑体" w:eastAsia="黑体" w:cs="黑体"/>
                <w:sz w:val="24"/>
                <w:szCs w:val="24"/>
              </w:rPr>
            </w:pPr>
          </w:p>
        </w:tc>
        <w:tc>
          <w:tcPr>
            <w:tcW w:w="0" w:type="auto"/>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afterAutospacing="0" w:line="576" w:lineRule="exact"/>
              <w:textAlignment w:val="auto"/>
              <w:rPr>
                <w:rFonts w:hint="eastAsia" w:ascii="黑体" w:hAnsi="黑体" w:eastAsia="黑体" w:cs="黑体"/>
                <w:sz w:val="24"/>
                <w:szCs w:val="24"/>
              </w:rPr>
            </w:pP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4.无正当理由大量反复申请</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0" w:type="auto"/>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afterAutospacing="0" w:line="576" w:lineRule="exact"/>
              <w:textAlignment w:val="auto"/>
              <w:rPr>
                <w:rFonts w:hint="eastAsia" w:ascii="黑体" w:hAnsi="黑体" w:eastAsia="黑体" w:cs="黑体"/>
                <w:sz w:val="24"/>
                <w:szCs w:val="24"/>
              </w:rPr>
            </w:pPr>
          </w:p>
        </w:tc>
        <w:tc>
          <w:tcPr>
            <w:tcW w:w="0" w:type="auto"/>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afterAutospacing="0" w:line="576" w:lineRule="exact"/>
              <w:textAlignment w:val="auto"/>
              <w:rPr>
                <w:rFonts w:hint="eastAsia" w:ascii="黑体" w:hAnsi="黑体" w:eastAsia="黑体" w:cs="黑体"/>
                <w:sz w:val="24"/>
                <w:szCs w:val="24"/>
              </w:rPr>
            </w:pP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5.要求行政机关确认或重新出具已获取信息</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0" w:type="auto"/>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afterAutospacing="0" w:line="576" w:lineRule="exact"/>
              <w:textAlignment w:val="auto"/>
              <w:rPr>
                <w:rFonts w:hint="eastAsia" w:ascii="黑体" w:hAnsi="黑体" w:eastAsia="黑体" w:cs="黑体"/>
                <w:sz w:val="24"/>
                <w:szCs w:val="24"/>
              </w:rPr>
            </w:pPr>
          </w:p>
        </w:tc>
        <w:tc>
          <w:tcPr>
            <w:tcW w:w="0" w:type="auto"/>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（六）其他处理</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0" w:type="auto"/>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afterAutospacing="0" w:line="576" w:lineRule="exact"/>
              <w:textAlignment w:val="auto"/>
              <w:rPr>
                <w:rFonts w:hint="eastAsia" w:ascii="黑体" w:hAnsi="黑体" w:eastAsia="黑体" w:cs="黑体"/>
                <w:sz w:val="24"/>
                <w:szCs w:val="24"/>
              </w:rPr>
            </w:pPr>
          </w:p>
        </w:tc>
        <w:tc>
          <w:tcPr>
            <w:tcW w:w="0" w:type="auto"/>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（七）总计</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1</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0" w:type="auto"/>
            <w:gridSpan w:val="3"/>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四、结转下年度继续办理</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0" w:type="auto"/>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r>
    </w:tbl>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ind w:left="0" w:firstLine="420"/>
        <w:jc w:val="both"/>
        <w:textAlignment w:val="auto"/>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tbl>
      <w:tblPr>
        <w:tblStyle w:val="3"/>
        <w:tblW w:w="0" w:type="auto"/>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54"/>
        <w:gridCol w:w="554"/>
        <w:gridCol w:w="554"/>
        <w:gridCol w:w="554"/>
        <w:gridCol w:w="567"/>
        <w:gridCol w:w="554"/>
        <w:gridCol w:w="554"/>
        <w:gridCol w:w="554"/>
        <w:gridCol w:w="554"/>
        <w:gridCol w:w="567"/>
        <w:gridCol w:w="554"/>
        <w:gridCol w:w="554"/>
        <w:gridCol w:w="554"/>
        <w:gridCol w:w="555"/>
        <w:gridCol w:w="5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015" w:type="dxa"/>
            <w:gridSpan w:val="5"/>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行政复议</w:t>
            </w:r>
          </w:p>
        </w:tc>
        <w:tc>
          <w:tcPr>
            <w:tcW w:w="6030" w:type="dxa"/>
            <w:gridSpan w:val="10"/>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行政诉讼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600" w:type="dxa"/>
            <w:vMerge w:val="restart"/>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结果维持</w:t>
            </w:r>
          </w:p>
        </w:tc>
        <w:tc>
          <w:tcPr>
            <w:tcW w:w="600" w:type="dxa"/>
            <w:vMerge w:val="restart"/>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结果纠正</w:t>
            </w:r>
          </w:p>
        </w:tc>
        <w:tc>
          <w:tcPr>
            <w:tcW w:w="600" w:type="dxa"/>
            <w:vMerge w:val="restart"/>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其他结果</w:t>
            </w:r>
          </w:p>
        </w:tc>
        <w:tc>
          <w:tcPr>
            <w:tcW w:w="600" w:type="dxa"/>
            <w:vMerge w:val="restart"/>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尚未审结</w:t>
            </w:r>
          </w:p>
        </w:tc>
        <w:tc>
          <w:tcPr>
            <w:tcW w:w="600" w:type="dxa"/>
            <w:vMerge w:val="restart"/>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总计</w:t>
            </w:r>
          </w:p>
        </w:tc>
        <w:tc>
          <w:tcPr>
            <w:tcW w:w="3015" w:type="dxa"/>
            <w:gridSpan w:val="5"/>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未经复议直接起诉</w:t>
            </w:r>
          </w:p>
        </w:tc>
        <w:tc>
          <w:tcPr>
            <w:tcW w:w="3015" w:type="dxa"/>
            <w:gridSpan w:val="5"/>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复议后起诉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600" w:type="dxa"/>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afterAutospacing="0" w:line="576" w:lineRule="exact"/>
              <w:textAlignment w:val="auto"/>
              <w:rPr>
                <w:rFonts w:hint="eastAsia" w:ascii="黑体" w:hAnsi="黑体" w:eastAsia="黑体" w:cs="黑体"/>
                <w:sz w:val="24"/>
                <w:szCs w:val="24"/>
              </w:rPr>
            </w:pPr>
          </w:p>
        </w:tc>
        <w:tc>
          <w:tcPr>
            <w:tcW w:w="600" w:type="dxa"/>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afterAutospacing="0" w:line="576" w:lineRule="exact"/>
              <w:textAlignment w:val="auto"/>
              <w:rPr>
                <w:rFonts w:hint="eastAsia" w:ascii="黑体" w:hAnsi="黑体" w:eastAsia="黑体" w:cs="黑体"/>
                <w:sz w:val="24"/>
                <w:szCs w:val="24"/>
              </w:rPr>
            </w:pPr>
          </w:p>
        </w:tc>
        <w:tc>
          <w:tcPr>
            <w:tcW w:w="600" w:type="dxa"/>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afterAutospacing="0" w:line="576" w:lineRule="exact"/>
              <w:textAlignment w:val="auto"/>
              <w:rPr>
                <w:rFonts w:hint="eastAsia" w:ascii="黑体" w:hAnsi="黑体" w:eastAsia="黑体" w:cs="黑体"/>
                <w:sz w:val="24"/>
                <w:szCs w:val="24"/>
              </w:rPr>
            </w:pPr>
          </w:p>
        </w:tc>
        <w:tc>
          <w:tcPr>
            <w:tcW w:w="600" w:type="dxa"/>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afterAutospacing="0" w:line="576" w:lineRule="exact"/>
              <w:textAlignment w:val="auto"/>
              <w:rPr>
                <w:rFonts w:hint="eastAsia" w:ascii="黑体" w:hAnsi="黑体" w:eastAsia="黑体" w:cs="黑体"/>
                <w:sz w:val="24"/>
                <w:szCs w:val="24"/>
              </w:rPr>
            </w:pPr>
          </w:p>
        </w:tc>
        <w:tc>
          <w:tcPr>
            <w:tcW w:w="600" w:type="dxa"/>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afterAutospacing="0" w:line="576" w:lineRule="exact"/>
              <w:textAlignment w:val="auto"/>
              <w:rPr>
                <w:rFonts w:hint="eastAsia" w:ascii="黑体" w:hAnsi="黑体" w:eastAsia="黑体" w:cs="黑体"/>
                <w:sz w:val="24"/>
                <w:szCs w:val="24"/>
              </w:rPr>
            </w:pPr>
          </w:p>
        </w:tc>
        <w:tc>
          <w:tcPr>
            <w:tcW w:w="60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结果维持</w:t>
            </w:r>
          </w:p>
        </w:tc>
        <w:tc>
          <w:tcPr>
            <w:tcW w:w="60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结果纠正</w:t>
            </w:r>
          </w:p>
        </w:tc>
        <w:tc>
          <w:tcPr>
            <w:tcW w:w="60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其他结果</w:t>
            </w:r>
          </w:p>
        </w:tc>
        <w:tc>
          <w:tcPr>
            <w:tcW w:w="60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尚未审结</w:t>
            </w:r>
          </w:p>
        </w:tc>
        <w:tc>
          <w:tcPr>
            <w:tcW w:w="60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总计</w:t>
            </w:r>
          </w:p>
        </w:tc>
        <w:tc>
          <w:tcPr>
            <w:tcW w:w="60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结果维持</w:t>
            </w:r>
          </w:p>
        </w:tc>
        <w:tc>
          <w:tcPr>
            <w:tcW w:w="60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结果纠正</w:t>
            </w:r>
          </w:p>
        </w:tc>
        <w:tc>
          <w:tcPr>
            <w:tcW w:w="60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其他结果</w:t>
            </w:r>
          </w:p>
        </w:tc>
        <w:tc>
          <w:tcPr>
            <w:tcW w:w="60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尚未审结</w:t>
            </w:r>
          </w:p>
        </w:tc>
        <w:tc>
          <w:tcPr>
            <w:tcW w:w="60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总计</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60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60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60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60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60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60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60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60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60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60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60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60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60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60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c>
          <w:tcPr>
            <w:tcW w:w="60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jc w:val="both"/>
              <w:textAlignment w:val="auto"/>
              <w:rPr>
                <w:rFonts w:hint="eastAsia" w:ascii="黑体" w:hAnsi="黑体" w:eastAsia="黑体" w:cs="黑体"/>
                <w:sz w:val="24"/>
                <w:szCs w:val="24"/>
              </w:rPr>
            </w:pPr>
            <w:r>
              <w:rPr>
                <w:rFonts w:hint="eastAsia" w:ascii="黑体" w:hAnsi="黑体" w:eastAsia="黑体" w:cs="黑体"/>
                <w:sz w:val="24"/>
                <w:szCs w:val="24"/>
              </w:rPr>
              <w:t>0</w:t>
            </w:r>
          </w:p>
        </w:tc>
      </w:tr>
    </w:tbl>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ind w:left="0" w:firstLine="420"/>
        <w:jc w:val="both"/>
        <w:textAlignment w:val="auto"/>
        <w:rPr>
          <w:rFonts w:hint="eastAsia" w:ascii="黑体" w:hAnsi="黑体" w:eastAsia="黑体" w:cs="黑体"/>
          <w:sz w:val="32"/>
          <w:szCs w:val="32"/>
        </w:rPr>
      </w:pPr>
      <w:r>
        <w:rPr>
          <w:rFonts w:hint="eastAsia" w:ascii="黑体" w:hAnsi="黑体" w:eastAsia="黑体" w:cs="黑体"/>
          <w:sz w:val="32"/>
          <w:szCs w:val="32"/>
        </w:rPr>
        <w:t>五、存在的主要问题及改进情况</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ind w:lef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度政务公开取得了一些成绩但仍存在着不足：1.规范性文件解读不规范。针对我局发布的规范性文件，解读文本格式不够规范；2.政务公开形式较为单一，目前我单位政务公开的形式比较单一，思想比较保守，仍然沿袭传统的形式对外公开信息。</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ind w:lef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上述问题，我局结合工作实际积极进行改进：1.规范化公开规范性文件，严格按照修订出台背景及依据、制定依据、制定意义和总体考虑等七方面进行公开；2.丰富公开方式和渠道，利用图片、视频等方式进行公开，让公开和解读的内容变得更加通俗易懂。</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ind w:lef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六、其他需要报告的事项</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ind w:lef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ind w:left="0" w:firstLine="420"/>
        <w:jc w:val="both"/>
        <w:textAlignment w:val="auto"/>
        <w:rPr>
          <w:rFonts w:hint="eastAsia" w:ascii="仿宋_GB2312" w:hAnsi="仿宋_GB2312" w:eastAsia="仿宋_GB2312" w:cs="仿宋_GB2312"/>
          <w:sz w:val="32"/>
          <w:szCs w:val="32"/>
        </w:rPr>
      </w:pP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ind w:left="0" w:firstLine="420"/>
        <w:jc w:val="both"/>
        <w:textAlignment w:val="auto"/>
        <w:rPr>
          <w:rFonts w:hint="eastAsia" w:ascii="仿宋_GB2312" w:hAnsi="仿宋_GB2312" w:eastAsia="仿宋_GB2312" w:cs="仿宋_GB2312"/>
          <w:sz w:val="32"/>
          <w:szCs w:val="32"/>
        </w:rPr>
      </w:pP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ind w:left="0" w:firstLine="420"/>
        <w:jc w:val="both"/>
        <w:textAlignment w:val="auto"/>
        <w:rPr>
          <w:rFonts w:hint="eastAsia" w:ascii="仿宋_GB2312" w:hAnsi="仿宋_GB2312" w:eastAsia="仿宋_GB2312" w:cs="仿宋_GB2312"/>
          <w:sz w:val="32"/>
          <w:szCs w:val="32"/>
        </w:rPr>
      </w:pP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ind w:left="0" w:firstLine="42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六安市叶集区市场监督管理局</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76" w:lineRule="exact"/>
        <w:ind w:left="0" w:firstLine="42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2021年1月14日</w:t>
      </w:r>
    </w:p>
    <w:p>
      <w:pPr>
        <w:keepNext w:val="0"/>
        <w:keepLines w:val="0"/>
        <w:pageBreakBefore w:val="0"/>
        <w:kinsoku/>
        <w:wordWrap/>
        <w:overflowPunct/>
        <w:topLinePunct w:val="0"/>
        <w:autoSpaceDE/>
        <w:autoSpaceDN/>
        <w:bidi w:val="0"/>
        <w:adjustRightInd w:val="0"/>
        <w:snapToGrid w:val="0"/>
        <w:spacing w:afterAutospacing="0" w:line="576"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4ODViODRmMTBiNTcxMjgxMmQyMmU5NWM5NzJkOTcifQ=="/>
  </w:docVars>
  <w:rsids>
    <w:rsidRoot w:val="7FE857FA"/>
    <w:rsid w:val="00936194"/>
    <w:rsid w:val="029779DF"/>
    <w:rsid w:val="041C3FA6"/>
    <w:rsid w:val="06D11EF1"/>
    <w:rsid w:val="07292CF6"/>
    <w:rsid w:val="07875F3B"/>
    <w:rsid w:val="0CC21C90"/>
    <w:rsid w:val="0D79544E"/>
    <w:rsid w:val="0F486ACE"/>
    <w:rsid w:val="10FF09AC"/>
    <w:rsid w:val="111579F6"/>
    <w:rsid w:val="114864F2"/>
    <w:rsid w:val="120027B6"/>
    <w:rsid w:val="145150D0"/>
    <w:rsid w:val="14EA50B5"/>
    <w:rsid w:val="155E177F"/>
    <w:rsid w:val="16705F49"/>
    <w:rsid w:val="18BA61CA"/>
    <w:rsid w:val="1BB27CA2"/>
    <w:rsid w:val="1EC513B4"/>
    <w:rsid w:val="1EE43FB7"/>
    <w:rsid w:val="1F3B3394"/>
    <w:rsid w:val="1F564F4C"/>
    <w:rsid w:val="1FB13356"/>
    <w:rsid w:val="20585D01"/>
    <w:rsid w:val="208461F9"/>
    <w:rsid w:val="22916662"/>
    <w:rsid w:val="22E276E9"/>
    <w:rsid w:val="29170D56"/>
    <w:rsid w:val="297F4A27"/>
    <w:rsid w:val="2B6B2304"/>
    <w:rsid w:val="2D1A3A49"/>
    <w:rsid w:val="2D360A6D"/>
    <w:rsid w:val="2E4E10CC"/>
    <w:rsid w:val="2ED53BC8"/>
    <w:rsid w:val="2ED63866"/>
    <w:rsid w:val="35020EF3"/>
    <w:rsid w:val="363339C9"/>
    <w:rsid w:val="375C403D"/>
    <w:rsid w:val="37BD5F27"/>
    <w:rsid w:val="38FD5D3F"/>
    <w:rsid w:val="39E7513F"/>
    <w:rsid w:val="3A5A7999"/>
    <w:rsid w:val="3C9D08BE"/>
    <w:rsid w:val="3D743CC2"/>
    <w:rsid w:val="3DF9204E"/>
    <w:rsid w:val="3E8741A1"/>
    <w:rsid w:val="3E9D64D3"/>
    <w:rsid w:val="3EE01A2F"/>
    <w:rsid w:val="44872442"/>
    <w:rsid w:val="46BD7101"/>
    <w:rsid w:val="46F015AC"/>
    <w:rsid w:val="481334AE"/>
    <w:rsid w:val="494C4076"/>
    <w:rsid w:val="4BB80965"/>
    <w:rsid w:val="505D1556"/>
    <w:rsid w:val="5078447D"/>
    <w:rsid w:val="50B608C7"/>
    <w:rsid w:val="52BC47A8"/>
    <w:rsid w:val="533C28BF"/>
    <w:rsid w:val="5375791D"/>
    <w:rsid w:val="53A7479A"/>
    <w:rsid w:val="53F96F66"/>
    <w:rsid w:val="5499320F"/>
    <w:rsid w:val="551D576C"/>
    <w:rsid w:val="56985D82"/>
    <w:rsid w:val="57122706"/>
    <w:rsid w:val="59130B6D"/>
    <w:rsid w:val="5DBC5896"/>
    <w:rsid w:val="5E805982"/>
    <w:rsid w:val="5F621E2A"/>
    <w:rsid w:val="639D3B3D"/>
    <w:rsid w:val="647E7082"/>
    <w:rsid w:val="65D41B7A"/>
    <w:rsid w:val="66F75983"/>
    <w:rsid w:val="67901237"/>
    <w:rsid w:val="695009D8"/>
    <w:rsid w:val="69AA3652"/>
    <w:rsid w:val="6AAE6D2F"/>
    <w:rsid w:val="6AE64246"/>
    <w:rsid w:val="6C312E12"/>
    <w:rsid w:val="6D0525B4"/>
    <w:rsid w:val="6E732DF5"/>
    <w:rsid w:val="6EA15D8B"/>
    <w:rsid w:val="710803F3"/>
    <w:rsid w:val="74C637FB"/>
    <w:rsid w:val="75C55695"/>
    <w:rsid w:val="784756DC"/>
    <w:rsid w:val="78950E55"/>
    <w:rsid w:val="79A23C1B"/>
    <w:rsid w:val="7CC36ACD"/>
    <w:rsid w:val="7CD65085"/>
    <w:rsid w:val="7F406688"/>
    <w:rsid w:val="7FE85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2024-02-21T06:55:00Z</dcterms:created>
  <dc:creator>WPS_1622431491</dc:creator>
  <cp:lastModifiedBy>凉材斯乘泵</cp:lastModifiedBy>
  <dcterms:modified xsi:type="dcterms:W3CDTF">2024-05-06T01:11:27Z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D2ADB1D195BE4ABB8F974509DDA8A1AE_11</vt:lpwstr>
  </property>
</Properties>
</file>