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  <w:r>
        <w:rPr>
          <w:rFonts w:hint="default" w:ascii="Times New Roman" w:hAnsi="Times New Roman" w:cs="Times New Roman"/>
          <w:sz w:val="21"/>
          <w:szCs w:val="21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315" w:right="315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color w:val="000000"/>
          <w:sz w:val="32"/>
          <w:szCs w:val="32"/>
        </w:rPr>
        <w:t>叶办发〔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2024〕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76" w:lineRule="atLeast"/>
        <w:ind w:left="0" w:right="0"/>
        <w:jc w:val="center"/>
        <w:rPr>
          <w:rFonts w:hint="default" w:ascii="Times New Roman" w:hAnsi="Times New Roman" w:cs="Times New Roman"/>
          <w:w w:val="75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w w:val="75"/>
          <w:sz w:val="44"/>
          <w:szCs w:val="44"/>
        </w:rPr>
        <w:t>中共六安市叶集区委办公室</w:t>
      </w:r>
      <w:r>
        <w:rPr>
          <w:rFonts w:hint="default" w:ascii="Times New Roman" w:hAnsi="Times New Roman" w:cs="Times New Roman"/>
          <w:color w:val="000000"/>
          <w:w w:val="75"/>
          <w:sz w:val="44"/>
          <w:szCs w:val="44"/>
        </w:rPr>
        <w:t>  </w:t>
      </w:r>
      <w:r>
        <w:rPr>
          <w:rFonts w:hint="eastAsia" w:ascii="方正小标宋简体" w:hAnsi="方正小标宋简体" w:eastAsia="方正小标宋简体" w:cs="方正小标宋简体"/>
          <w:color w:val="000000"/>
          <w:w w:val="75"/>
          <w:sz w:val="44"/>
          <w:szCs w:val="44"/>
        </w:rPr>
        <w:t>六安市叶集区人民政府办公室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76" w:lineRule="atLeast"/>
        <w:ind w:left="0" w:right="0"/>
        <w:jc w:val="center"/>
        <w:rPr>
          <w:rFonts w:hint="default" w:ascii="Times New Roman" w:hAnsi="Times New Roman" w:cs="Times New Roman"/>
          <w:w w:val="75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75"/>
          <w:sz w:val="44"/>
          <w:szCs w:val="44"/>
        </w:rPr>
        <w:t>关于印发《六安市叶集区2024年工业强区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76" w:lineRule="atLeast"/>
        <w:ind w:left="0" w:right="0"/>
        <w:jc w:val="center"/>
        <w:rPr>
          <w:rFonts w:hint="default" w:ascii="Times New Roman" w:hAnsi="Times New Roman" w:cs="Times New Roman"/>
          <w:w w:val="75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75"/>
          <w:sz w:val="44"/>
          <w:szCs w:val="44"/>
        </w:rPr>
        <w:t>工作实施意见》的通知</w:t>
      </w:r>
    </w:p>
    <w:bookmarkEnd w:id="0"/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1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napToGrid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1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楷体_GB2312" w:hAnsi="Times New Roman" w:eastAsia="楷体_GB2312" w:cs="楷体_GB2312"/>
          <w:color w:val="000000"/>
          <w:spacing w:val="4"/>
          <w:sz w:val="32"/>
          <w:szCs w:val="32"/>
        </w:rPr>
        <w:t>各乡镇党委、街道党工委，各乡镇人民政府、街道办事处，区直各单位：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color w:val="000000"/>
          <w:sz w:val="32"/>
          <w:szCs w:val="32"/>
        </w:rPr>
        <w:t>现将《六安市叶集区2024年工业强区工作实施意见》印发给你们，请认真贯彻落实。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right="338"/>
        <w:jc w:val="right"/>
        <w:rPr>
          <w:rFonts w:hint="eastAsia" w:ascii="楷体_GB2312" w:hAnsi="Times New Roman" w:eastAsia="楷体_GB2312" w:cs="楷体_GB2312"/>
          <w:color w:val="000000"/>
          <w:sz w:val="32"/>
          <w:szCs w:val="32"/>
        </w:rPr>
      </w:pPr>
      <w:r>
        <w:rPr>
          <w:rFonts w:hint="eastAsia" w:ascii="楷体_GB2312" w:hAnsi="Times New Roman" w:eastAsia="楷体_GB2312" w:cs="楷体_GB2312"/>
          <w:color w:val="000000"/>
          <w:sz w:val="32"/>
          <w:szCs w:val="32"/>
        </w:rPr>
        <w:t>中共六安市叶集区委办公室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right="338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color w:val="000000"/>
          <w:sz w:val="32"/>
          <w:szCs w:val="32"/>
        </w:rPr>
        <w:t>六安市叶集区人民政府办公室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1260" w:firstLine="64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color w:val="000000"/>
          <w:sz w:val="32"/>
          <w:szCs w:val="32"/>
        </w:rPr>
        <w:t>2024年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3</w:t>
      </w:r>
      <w:r>
        <w:rPr>
          <w:rFonts w:hint="eastAsia" w:ascii="楷体_GB2312" w:hAnsi="Times New Roman" w:eastAsia="楷体_GB2312" w:cs="楷体_GB2312"/>
          <w:color w:val="000000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18</w:t>
      </w:r>
      <w:r>
        <w:rPr>
          <w:rFonts w:hint="eastAsia" w:ascii="楷体_GB2312" w:hAnsi="Times New Roman" w:eastAsia="楷体_GB2312" w:cs="楷体_GB2312"/>
          <w:color w:val="000000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color w:val="000000"/>
          <w:sz w:val="21"/>
          <w:szCs w:val="21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六安市叶集区2024年工业强区工作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实 </w:t>
      </w:r>
      <w:r>
        <w:rPr>
          <w:rFonts w:hint="default" w:ascii="Times New Roman" w:hAnsi="Times New Roman" w:cs="Times New Roman"/>
          <w:sz w:val="44"/>
          <w:szCs w:val="44"/>
        </w:rPr>
        <w:t>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施 </w:t>
      </w:r>
      <w:r>
        <w:rPr>
          <w:rFonts w:hint="default" w:ascii="Times New Roman" w:hAnsi="Times New Roman" w:cs="Times New Roman"/>
          <w:sz w:val="44"/>
          <w:szCs w:val="44"/>
        </w:rPr>
        <w:t>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 </w:t>
      </w:r>
      <w:r>
        <w:rPr>
          <w:rFonts w:hint="default" w:ascii="Times New Roman" w:hAnsi="Times New Roman" w:cs="Times New Roman"/>
          <w:sz w:val="44"/>
          <w:szCs w:val="44"/>
        </w:rPr>
        <w:t>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</w:t>
      </w:r>
      <w:r>
        <w:rPr>
          <w:rFonts w:hint="default" w:ascii="Times New Roman" w:hAnsi="Times New Roman" w:cs="Times New Roman"/>
          <w:sz w:val="32"/>
          <w:szCs w:val="32"/>
        </w:rPr>
        <w:t>024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工业强区工作总体要求是：坚持以习近平关于新型工业化重要论述为指导，全面贯彻党的二十大及中央经济工作会议精神，深入落实省市关于工业经济高质量发展部署要求，聚焦新型工业化核心战略，奋力推动全区工业发展取得新成效、迈上新台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sz w:val="32"/>
          <w:szCs w:val="32"/>
        </w:rPr>
        <w:t>一、主要预期目标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新增规上工业企业10家以上，规上工业总产值达到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85</w:t>
      </w:r>
      <w:r>
        <w:rPr>
          <w:rFonts w:hint="eastAsia" w:ascii="仿宋_GB2312" w:hAnsi="Times New Roman" w:eastAsia="仿宋_GB2312" w:cs="仿宋_GB2312"/>
          <w:sz w:val="32"/>
          <w:szCs w:val="32"/>
        </w:rPr>
        <w:t>亿元以上，规上工业增加值增长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10%</w:t>
      </w:r>
      <w:r>
        <w:rPr>
          <w:rFonts w:hint="eastAsia" w:ascii="仿宋_GB2312" w:hAnsi="Times New Roman" w:eastAsia="仿宋_GB2312" w:cs="仿宋_GB2312"/>
          <w:sz w:val="32"/>
          <w:szCs w:val="32"/>
        </w:rPr>
        <w:t>以上，工业固定资产投资增长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20%</w:t>
      </w:r>
      <w:r>
        <w:rPr>
          <w:rFonts w:hint="eastAsia" w:ascii="仿宋_GB2312" w:hAnsi="Times New Roman" w:eastAsia="仿宋_GB2312" w:cs="仿宋_GB2312"/>
          <w:sz w:val="32"/>
          <w:szCs w:val="32"/>
        </w:rPr>
        <w:t>以上，技术改造投资增长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20%</w:t>
      </w:r>
      <w:r>
        <w:rPr>
          <w:rFonts w:hint="eastAsia" w:ascii="仿宋_GB2312" w:hAnsi="Times New Roman" w:eastAsia="仿宋_GB2312" w:cs="仿宋_GB2312"/>
          <w:sz w:val="32"/>
          <w:szCs w:val="32"/>
        </w:rPr>
        <w:t>以上。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二、全年重点任务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sz w:val="32"/>
          <w:szCs w:val="32"/>
        </w:rPr>
        <w:t>（一）聚焦固本育新，培塑主导产业新亮点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1．做优智能家居产业。立足现有板材家居产业优势，引进和建设一批现代化智能家居企业，加快形成家居制造产业基地。鼓励大自然家居、中至信家居、科凡智造等优势企业扩大整体家居业务，向“大家居”和“智能家居”方向转型升级。完善家居产业上下游配套产业链，引进一批五金配件、床垫、封边、彩印包装等上下游产业项目。开展家居产业集聚区域品牌建设，支持企业实施增品种、提品质、创品牌“三品战略”。（区科技经信局、区发改委、区市场监管局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2．做精高质板材产业。加大建筑模板企业转型升级推进力度，修改完善建筑模板企业转型升级工作方案，制定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2024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年转型工作计划，兑现奖补政策，鼓励企业由传统木质模板生产向生态板、地板、阻燃刨花板、超薄纤维板、结构型胶合板等新型板材生产转型，力争全年实现建筑模板企业转型升级70%以上。鼓励东霖新材料、丽人木业等企业开展技术改造，提高质量扩大产能；推动汇科木业、荣冠木业等尽快达产纳规；支持耀东华装饰、绿环板材等企业扩大业务范围，形成更大区域品牌影响力。力争全年高质板材产业总产值达到25亿元。（区科技经信局、区财政局、经济开发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3．做强化工新材料产业。围绕合肥、武汉等周边地区产业需求，重点发展芯片化学品、光刻胶、特种电解质、高端聚氨酯，形成具有比较优势的产业链。以新领域、高科技作为产业发展方向，引进国内外行业领先的精细化学品企业来叶投资。推动欣奕华半导体、卓越新材料、科瑞达新材料、华福化工等项目建成投产。（区发改委、区科技经信局、经济开发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4．发展壮大模塑等新产业。加快模塑产业园建设，培育发展竹基新材料产业，全年招引模塑项目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个以上。大力推动金竹生物基新材料项目投产纳规，徽银同创项目开工建设，发挥龙头企业带动作用，促进产业延链强链。按照六安市工业强市工作要点要求，围绕新能源汽车产业，大力发展高端装备制造和汽车零部件产业，培育新的经济增长点。（区科技经信局、区发改委、区投创中心、经济开发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color w:val="000000"/>
          <w:sz w:val="32"/>
          <w:szCs w:val="32"/>
        </w:rPr>
        <w:t>（二）聚焦招大引强，实现经济总量新突破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5．加大招商引资力度。聚焦主导产业补链、延链、强链，坚持招大引强、招高引新，建立“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1+5+1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”产业专班推进机制，充分发挥产业招商团队、行业协会作用，推动以商招商、以企引企，努力招引更多头部企业及上下游关联配套企业落地。紧盯中盐红四方、兴福电子、志邦家居等龙头企业，全年新引进亿元以上工业项目不少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个，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亿元以上项目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个以上，当年开工率达到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70%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以上。（区投创中心、区发改委、经济开发区、其他各招商责任单位）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6．积极加快项目建设。持续推进工业“积树成林”工程，加快欣奕华半导体、徽银同创、夏尔特拉风电、园区屋顶分布式光伏等项目建设，推动华福化工、卓越新材料、科瑞达新材料、红象人造板项目上半年投产，华爵新材料、信之高新材料等项目尽快开工建设。（区发改委、经济开发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7．发展壮大龙头企业。支持金竹生物基新材料一期稳定达产，启动二期建设，着力形成模塑产业集群。支持大自然家居、中至信家居、管仲地板等企业尽快达产增效，年产值达到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亿元。支持科凡智造、中阀金属等企业扩大业务，做大企业规模，年产值达到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亿元。力争亿元企业达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家、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亿元企业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家、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亿元企业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家以上。（区科技经信局、经济开发区）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8．融入长三角、链上大合肥。深化与上海市金山区交流合作，建好六金化工新材料产业园，力争招引沪苏浙亿元以上项目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个。加大板材家居等产销对接，争取更多“叶集制造”进军上海市场。推动政府平台公司向在沪金融机构申报发行公司债券，引入更多金融“活水”。推进叶集化工园区与合肥化工龙头企业在芯片化学品、特种电解质、光刻胶等方面开展项目对接，打入合肥化工材料供应体系。紧抓合肥世界级智能家电（居）产业集群定位，嵌入合肥产业链，做大做强智能家居产业。（区发改委、区科技经信局、区投创中心、皖西国投集团公司、经济开发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9．加强省际毗邻地区合作。以新兴智能家居和新材料产业为合作重点，聚力打造叶集—固始“一河两岸”产业合作区。依托叶集经济开发区和固始县先进制造业开发区（湾区园）家居、电子等产业优势，推动家居产业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5G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等信息产业融合发展，打造智能家居产业集群。聚焦新能源汽车、电子信息新材料、家居新材料等新材料领域，重点发展节能、低污染、专用、功能型新材料产品，形成具有比较优势的产业链。（区发改委、区科技经信局、经济开发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sz w:val="32"/>
          <w:szCs w:val="32"/>
        </w:rPr>
        <w:t>（三）聚焦科技赋能，推动工业经济提质效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10．提升企业创新能力。支持科技含量较高的企业通过揭榜挂帅、联合攻关等方式申报各类科技项目，组建创新联合体，建设一批产业创新中心、技术创新中心、制造业创新中心等企业创新平台，通过研发合作、平台共建、成果共享等方式，带动产业链上中下游、中小企业融通创新。加强产学研合作，鼓励企业与高校、科研院所签订长期技术合作协议或共建企业技术中心、企业研发中心等，依托安徽科技大市场六安市场，全年为企业开展产学研科技要素对接服务不少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场次。动态实现规上制造业企业亿元以上无研发活动、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亿元以上无研发机构“两清零”，力争规上工业企业研发投入增长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15%</w:t>
      </w:r>
      <w:r>
        <w:rPr>
          <w:rFonts w:hint="eastAsia" w:ascii="仿宋_GB2312" w:hAnsi="Times New Roman" w:eastAsia="仿宋_GB2312" w:cs="仿宋_GB2312"/>
          <w:sz w:val="32"/>
          <w:szCs w:val="32"/>
        </w:rPr>
        <w:t>以上，培育创新型中小企业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Times New Roman" w:eastAsia="仿宋_GB2312" w:cs="仿宋_GB2312"/>
          <w:sz w:val="32"/>
          <w:szCs w:val="32"/>
        </w:rPr>
        <w:t>家以上。（区科技经信局、经济开发区）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11．增强数智赋能质效。培育“专精特新”等优质企业。引导和支持中小企业加大研发投入、注重知识产权、加强数字赋能，推动人才、资金、政策等要素资源向“专精特新”企业集聚，全年培育省级“专精特新”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家以上，新认定高新技术企业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家、战新企业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家。推动企业“智改数转网联”。加快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5G</w:t>
      </w:r>
      <w:r>
        <w:rPr>
          <w:rFonts w:hint="eastAsia" w:ascii="仿宋_GB2312" w:hAnsi="Times New Roman" w:eastAsia="仿宋_GB2312" w:cs="仿宋_GB2312"/>
          <w:sz w:val="32"/>
          <w:szCs w:val="32"/>
        </w:rPr>
        <w:t>和千兆光网等网络基础设施建设，推动企业入驻“羚羊”工业互联网综合服务平台，加大规下制造业企业数字化软件服务包推广应用力度，支持行业龙头企业实施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5G+</w:t>
      </w:r>
      <w:r>
        <w:rPr>
          <w:rFonts w:hint="eastAsia" w:ascii="仿宋_GB2312" w:hAnsi="Times New Roman" w:eastAsia="仿宋_GB2312" w:cs="仿宋_GB2312"/>
          <w:sz w:val="32"/>
          <w:szCs w:val="32"/>
        </w:rPr>
        <w:t>工业互联网应用场景改造，全年力争打造省级数字化转型典型示范项目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个以上，培育省市级智能工厂和数字化车间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家以上。加快推进企业技术改造。引导工业企业开展新一轮技术改造，推动中阀金属紫铜项目、科凡二期等一批技改项目加快建设，力争全年实施技改项目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仿宋_GB2312" w:hAnsi="Times New Roman" w:eastAsia="仿宋_GB2312" w:cs="仿宋_GB2312"/>
          <w:sz w:val="32"/>
          <w:szCs w:val="32"/>
        </w:rPr>
        <w:t>个以上。（区科技经信局、经济开发区）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sz w:val="32"/>
          <w:szCs w:val="32"/>
        </w:rPr>
        <w:t>（四）聚焦降本增效，激发企业发展新动能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sz w:val="32"/>
          <w:szCs w:val="32"/>
        </w:rPr>
        <w:t>12．深化开展“亩均论英雄”改革</w:t>
      </w:r>
      <w:r>
        <w:rPr>
          <w:rFonts w:hint="eastAsia" w:ascii="仿宋_GB2312" w:hAnsi="Times New Roman" w:eastAsia="仿宋_GB2312" w:cs="仿宋_GB2312"/>
          <w:sz w:val="32"/>
          <w:szCs w:val="32"/>
        </w:rPr>
        <w:t>。进一步完善工业企业亩均效益评价机制，修改完善《叶集区规下工业企业亩均效益评价办法（试行）》。科学开展规上、规下工业企业亩均评价工作，强化评价结果运用，建立资源要素优化配置机制，依法依规落实差别化财税、用地、用电、用水、用气、金融、人才等政策，推进资源要素向评价高的企业集聚，提升资源要素利用效率。（区科技经信局、区发改委、区财政局、区人社局、区市场监管局、区金融中心、市自然资源和规划局叶集分局、叶集税务局、国网叶集供电公司、经济开发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楷体_GB2312" w:hAnsi="Times New Roman" w:eastAsia="楷体_GB2312" w:cs="楷体_GB2312"/>
          <w:sz w:val="32"/>
          <w:szCs w:val="32"/>
        </w:rPr>
        <w:t>13．大力实施绿色制造工程</w:t>
      </w:r>
      <w:r>
        <w:rPr>
          <w:rFonts w:hint="eastAsia" w:ascii="仿宋_GB2312" w:hAnsi="Times New Roman" w:eastAsia="仿宋_GB2312" w:cs="仿宋_GB2312"/>
          <w:sz w:val="32"/>
          <w:szCs w:val="32"/>
        </w:rPr>
        <w:t>。积极构建以绿色工厂、绿色园区、绿色供应链为主体的绿色制造体系，推进实施工业能效提升计划，鼓励企业开展生产工艺和技术装备节能改造，积极争创国家级能效、水效领跑者标杆企业，力争培育省级绿色工厂1家。持续推动建材、化工等行业产业结构升级，依法依规淘汰落后低效产能。围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5000</w:t>
      </w:r>
      <w:r>
        <w:rPr>
          <w:rFonts w:hint="eastAsia" w:ascii="仿宋_GB2312" w:hAnsi="Times New Roman" w:eastAsia="仿宋_GB2312" w:cs="仿宋_GB2312"/>
          <w:sz w:val="32"/>
          <w:szCs w:val="32"/>
        </w:rPr>
        <w:t>吨标准煤以上重点耗能企业，落实“一企一策”节能降碳诊断服务，能耗要素优先保障产出高、耗能低的高质项目。（区发改委、区科技经信局、区水利局、叶集生态环境分局）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>三、健全保障体系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14．强化组织保障机制。完善党委（党组）统一领导、政府负责落实、企业发挥主体作用、社会力量广泛参与的工作格局，形成推进工业强区工作合力。召开企业表彰大会，表彰优秀工业企业，落实民营企业家恳谈会等工作机制。（区委办公室、区政府办公室、区直各有关单位、经济开发区、各乡镇街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15．支持园区建设发展。完善园区基础设施建设，实施叶集化工园区公共管廊一期等一批新建项目，推进双创中心、化工中试基地、智慧园区建设。加快生态环保纺织集约生产基地建设，推动新技术和纺织行业的深度融合。深化化工园区与上海金山区合作，主动嵌入上海精细化工产业链供应链。建立“园区吹哨、部门报到”工作机制，推动土地、资金、用工、能耗等要素服务进园区，为园区快速发展提供有力保障。加快推进小微企业园建设，力争新增入园小微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Times New Roman" w:eastAsia="仿宋_GB2312" w:cs="仿宋_GB2312"/>
          <w:sz w:val="32"/>
          <w:szCs w:val="32"/>
        </w:rPr>
        <w:t>家以上，积极培育省级小微企业创业创新示范基地。（区发改委、区科技经信局、区财政局、区人社局、区投创中心、区金融中心、市自然资源和规划局叶集分局、经济开发区）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16．优化企业服务质量。扎实开展“千名干部走万企”活动，帮助企业解决急难愁盼问题。深入贯彻落实上级关于重点行业稳增长工作要求，推动各项降本减负措施落地落实，切实降低行业用能、用水、用地、用工及物流等成本。切实扩大有效信贷投放，引导更多信贷资金向制造业倾斜。完善以企业为主体的人才引育留用机制，持续开展“政录企用”，常态化做好“送工进企”，推进招才引智“高校行”，着力保障企业用工和人才需求。深化“一业一查”“综合查一次”等跨部门联合监管，实现“进一次门、查多项事”，避免多头重复检查，减轻企业负担。（区营商办、区委组织部、区发改委、区科技经信局、区财政局、区人社局、区交通局、区市场监管局、区数管局、区金融中心、叶集税务局、国网叶集供电公司、经济开发区、各乡镇街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17．促进民营企业发展。常态化开展妨碍统一市场和公平竞争的政策措施清理，切实整治招投标等领域歧视性规定和做法。严格落实市场准入负面清单，推动各类经营主体依法进入清单之外的行业、领域、业务。加大恶意拖欠中小企业账款治理力度，依法保护民营企业和企业家的合法权益。大力弘扬企业家精神，在全社会营造尊重企业家、关心企业家的浓厚氛围。持续做好企业家分类短训工程，开展企业家培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场以上。（区发改委、区科技经信局、区市场监管局、区工商联、区公共资源交易中心等）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6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18．强化工业运行监测。坚持工业企业包保走访机制，全面掌握规上、规下工业企业生产经营情况。坚持每月召开工业经济运行分析会，强化部门数据共享、实时监测和会商研判，跟踪规上企业产值、用电、税收等指标异动情况。加强工业企业安全生产监测管理，常态化开展隐患排查整治，督促企业严格履行安全生产主体责任，筑牢工业发展安全底线。（各乡镇街、区科技经信局、区交通局、区应急局、叶集税务局、国网叶集供电公司、经济开发区等）</w:t>
      </w:r>
    </w:p>
    <w:tbl>
      <w:tblPr>
        <w:tblW w:w="8845" w:type="dxa"/>
        <w:tblInd w:w="13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884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15" w:right="31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中共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六安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市叶集区委办公室                2024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日印发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12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 </w:t>
      </w:r>
    </w:p>
    <w:p/>
    <w:sectPr>
      <w:pgSz w:w="11906" w:h="16838"/>
      <w:pgMar w:top="2041" w:right="1701" w:bottom="204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265AD"/>
    <w:rsid w:val="116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2024-04-07T08:23:00Z</dcterms:created>
  <dc:creator>周圆圆</dc:creator>
  <cp:lastModifiedBy>周圆圆</cp:lastModifiedBy>
  <dcterms:modified xsi:type="dcterms:W3CDTF">2024-04-07T08:27:15Z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