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21"/>
          <w:szCs w:val="21"/>
        </w:rPr>
      </w:pPr>
      <w:bookmarkStart w:id="0" w:name="_GoBack"/>
    </w:p>
    <w:bookmarkEnd w:id="0"/>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wordWrap w:val="0"/>
        <w:spacing w:before="0" w:beforeAutospacing="0" w:after="0" w:afterAutospacing="0" w:line="520" w:lineRule="atLeast"/>
        <w:ind w:left="210" w:right="210"/>
        <w:jc w:val="right"/>
        <w:rPr>
          <w:rFonts w:hint="default" w:ascii="Times New Roman" w:hAnsi="Times New Roman" w:cs="Times New Roman"/>
          <w:sz w:val="21"/>
          <w:szCs w:val="21"/>
        </w:rPr>
      </w:pPr>
      <w:r>
        <w:rPr>
          <w:rFonts w:ascii="仿宋_GB2312" w:hAnsi="Times New Roman" w:eastAsia="仿宋_GB2312" w:cs="仿宋_GB2312"/>
          <w:color w:val="000000"/>
          <w:sz w:val="32"/>
          <w:szCs w:val="32"/>
        </w:rPr>
        <w:t>叶政办秘〔</w:t>
      </w:r>
      <w:r>
        <w:rPr>
          <w:rFonts w:hint="eastAsia" w:ascii="仿宋_GB2312" w:hAnsi="Times New Roman" w:eastAsia="仿宋_GB2312" w:cs="仿宋_GB2312"/>
          <w:color w:val="000000"/>
          <w:sz w:val="32"/>
          <w:szCs w:val="32"/>
        </w:rPr>
        <w:t>2024〕</w:t>
      </w:r>
      <w:r>
        <w:rPr>
          <w:rFonts w:hint="default" w:ascii="Times New Roman" w:hAnsi="Times New Roman" w:eastAsia="仿宋_GB2312" w:cs="Times New Roman"/>
          <w:color w:val="000000"/>
          <w:sz w:val="32"/>
          <w:szCs w:val="32"/>
        </w:rPr>
        <w:t>4</w:t>
      </w:r>
      <w:r>
        <w:rPr>
          <w:rFonts w:hint="eastAsia" w:ascii="仿宋_GB2312" w:hAnsi="Times New Roman" w:eastAsia="仿宋_GB2312" w:cs="仿宋_GB2312"/>
          <w:color w:val="000000"/>
          <w:sz w:val="32"/>
          <w:szCs w:val="32"/>
        </w:rPr>
        <w:t>号</w:t>
      </w:r>
    </w:p>
    <w:p>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w w:val="90"/>
          <w:sz w:val="21"/>
          <w:szCs w:val="21"/>
        </w:rPr>
      </w:pPr>
      <w:r>
        <w:rPr>
          <w:rFonts w:ascii="方正小标宋简体" w:hAnsi="方正小标宋简体" w:eastAsia="方正小标宋简体" w:cs="方正小标宋简体"/>
          <w:w w:val="90"/>
          <w:sz w:val="44"/>
          <w:szCs w:val="44"/>
        </w:rPr>
        <w:t>六安市叶集区人民政府办公室关于切实</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w w:val="90"/>
          <w:sz w:val="21"/>
          <w:szCs w:val="21"/>
        </w:rPr>
      </w:pPr>
      <w:r>
        <w:rPr>
          <w:rFonts w:hint="eastAsia" w:ascii="方正小标宋简体" w:hAnsi="方正小标宋简体" w:eastAsia="方正小标宋简体" w:cs="方正小标宋简体"/>
          <w:w w:val="90"/>
          <w:sz w:val="44"/>
          <w:szCs w:val="44"/>
        </w:rPr>
        <w:t>做好春节后复工复产等有关重点工作的通知</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各乡镇人民政府、街道办事处，区政府各部门、各直属单位：</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2024年是实现“十四五”规划目标任务的关键一年，开局关乎全局，起步决定后程。为全面贯彻落实区委二届八次全会和区“两会”精神，以奋发有为的精神状态推动</w:t>
      </w:r>
      <w:r>
        <w:rPr>
          <w:rFonts w:hint="default" w:ascii="Times New Roman" w:hAnsi="Times New Roman" w:eastAsia="仿宋_GB2312" w:cs="Times New Roman"/>
          <w:sz w:val="32"/>
          <w:szCs w:val="32"/>
        </w:rPr>
        <w:t>2024</w:t>
      </w:r>
      <w:r>
        <w:rPr>
          <w:rFonts w:hint="eastAsia" w:ascii="仿宋_GB2312" w:hAnsi="Times New Roman" w:eastAsia="仿宋_GB2312" w:cs="仿宋_GB2312"/>
          <w:sz w:val="32"/>
          <w:szCs w:val="32"/>
        </w:rPr>
        <w:t>年经济运行向稳向好，扭住重大关键环节，纲举目张做好各项工作，奋力助推首季“开门红”，现就做好春节后复工复产等有关重点工作通知如下：</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ascii="黑体" w:hAnsi="宋体" w:eastAsia="黑体" w:cs="黑体"/>
          <w:sz w:val="32"/>
          <w:szCs w:val="32"/>
        </w:rPr>
        <w:t>一、关于项目复工开工工作</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ascii="楷体_GB2312" w:hAnsi="Times New Roman" w:eastAsia="楷体_GB2312" w:cs="楷体_GB2312"/>
          <w:sz w:val="32"/>
          <w:szCs w:val="32"/>
        </w:rPr>
        <w:t>（一）推动在建项目尽快复工</w:t>
      </w:r>
      <w:r>
        <w:rPr>
          <w:rFonts w:hint="eastAsia" w:ascii="仿宋_GB2312" w:hAnsi="Times New Roman" w:eastAsia="仿宋_GB2312" w:cs="仿宋_GB2312"/>
          <w:sz w:val="32"/>
          <w:szCs w:val="32"/>
        </w:rPr>
        <w:t>。各乡镇街、区直行业主管部门要在春节放假前与在建项目单位联系沟通，商定项目复工计划。原则上，2月</w:t>
      </w:r>
      <w:r>
        <w:rPr>
          <w:rFonts w:hint="default" w:ascii="Times New Roman" w:hAnsi="Times New Roman" w:eastAsia="仿宋_GB2312" w:cs="Times New Roman"/>
          <w:sz w:val="32"/>
          <w:szCs w:val="32"/>
        </w:rPr>
        <w:t>25</w:t>
      </w:r>
      <w:r>
        <w:rPr>
          <w:rFonts w:hint="eastAsia" w:ascii="仿宋_GB2312" w:hAnsi="Times New Roman" w:eastAsia="仿宋_GB2312" w:cs="仿宋_GB2312"/>
          <w:sz w:val="32"/>
          <w:szCs w:val="32"/>
        </w:rPr>
        <w:t>日前全区续建重点项目全部实现复工，项目现场管理人员全部到岗，施工人员到岗率不低于</w:t>
      </w:r>
      <w:r>
        <w:rPr>
          <w:rFonts w:hint="default" w:ascii="Times New Roman" w:hAnsi="Times New Roman" w:eastAsia="仿宋_GB2312" w:cs="Times New Roman"/>
          <w:sz w:val="32"/>
          <w:szCs w:val="32"/>
        </w:rPr>
        <w:t>50%</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月底前施工人员全部到岗。春节上班后，各乡镇街、区直行业主管部门要第一时间与复工项目单位建立联系，掌握复工时间安排情况；对复工过程中存在的困难和问题，及时帮助协调解决。</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（二）加快新项目开工</w:t>
      </w:r>
      <w:r>
        <w:rPr>
          <w:rFonts w:hint="eastAsia" w:ascii="仿宋_GB2312" w:hAnsi="Times New Roman" w:eastAsia="仿宋_GB2312" w:cs="仿宋_GB2312"/>
          <w:sz w:val="32"/>
          <w:szCs w:val="32"/>
        </w:rPr>
        <w:t>。各乡镇街、区直行业主管部门要对今年计划新开工的各类项目，逐个制定推进计划，明确时间节点、开工月份、责任单位及责任人，形成项目推进时间表、路线图；落实可研、初设、施工图等项目审批和规划选址、用地报批、征地拆迁等要素保障两个“维度”同步推进，确保项目尽早开工建设。</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（三）加强调度监测</w:t>
      </w:r>
      <w:r>
        <w:rPr>
          <w:rFonts w:hint="eastAsia" w:ascii="仿宋_GB2312" w:hAnsi="Times New Roman" w:eastAsia="仿宋_GB2312" w:cs="仿宋_GB2312"/>
          <w:sz w:val="32"/>
          <w:szCs w:val="32"/>
        </w:rPr>
        <w:t>。各乡镇街、区直行业主管部门要加强监测调度，从2月</w:t>
      </w:r>
      <w:r>
        <w:rPr>
          <w:rFonts w:hint="default" w:ascii="Times New Roman" w:hAnsi="Times New Roman" w:eastAsia="仿宋_GB2312" w:cs="Times New Roman"/>
          <w:sz w:val="32"/>
          <w:szCs w:val="32"/>
        </w:rPr>
        <w:t>18</w:t>
      </w:r>
      <w:r>
        <w:rPr>
          <w:rFonts w:hint="eastAsia" w:ascii="仿宋_GB2312" w:hAnsi="Times New Roman" w:eastAsia="仿宋_GB2312" w:cs="仿宋_GB2312"/>
          <w:sz w:val="32"/>
          <w:szCs w:val="32"/>
        </w:rPr>
        <w:t>日起，每日</w:t>
      </w:r>
      <w:r>
        <w:rPr>
          <w:rFonts w:hint="default" w:ascii="Times New Roman" w:hAnsi="Times New Roman" w:eastAsia="仿宋_GB2312" w:cs="Times New Roman"/>
          <w:sz w:val="32"/>
          <w:szCs w:val="32"/>
        </w:rPr>
        <w:t>15:00</w:t>
      </w:r>
      <w:r>
        <w:rPr>
          <w:rFonts w:hint="eastAsia" w:ascii="仿宋_GB2312" w:hAnsi="Times New Roman" w:eastAsia="仿宋_GB2312" w:cs="仿宋_GB2312"/>
          <w:sz w:val="32"/>
          <w:szCs w:val="32"/>
        </w:rPr>
        <w:t>前向区发改委报送当日重点项目复工情况（见附件</w:t>
      </w:r>
      <w:r>
        <w:rPr>
          <w:rFonts w:hint="default" w:ascii="Times New Roman" w:hAnsi="Times New Roman" w:eastAsia="仿宋_GB2312" w:cs="Times New Roman"/>
          <w:sz w:val="32"/>
          <w:szCs w:val="32"/>
        </w:rPr>
        <w:t>1</w:t>
      </w:r>
      <w:r>
        <w:rPr>
          <w:rFonts w:hint="eastAsia" w:ascii="仿宋_GB2312" w:hAnsi="Times New Roman" w:eastAsia="仿宋_GB2312" w:cs="仿宋_GB2312"/>
          <w:sz w:val="32"/>
          <w:szCs w:val="32"/>
        </w:rPr>
        <w:t>）。</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二、关于工业企业复产工作</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（一）强化监测调度</w:t>
      </w:r>
      <w:r>
        <w:rPr>
          <w:rFonts w:hint="eastAsia" w:ascii="仿宋_GB2312" w:hAnsi="Times New Roman" w:eastAsia="仿宋_GB2312" w:cs="仿宋_GB2312"/>
          <w:sz w:val="32"/>
          <w:szCs w:val="32"/>
        </w:rPr>
        <w:t>。各乡镇街、区直有关单位要加强对重点区域、重点行业、重点企业生产监测，密切关注企业生产订单、用能用工、资金账款、产品库存、供应链等情况，对前期摸排的春节期间连续生产企业运行中出现的重大异常情况及时反馈至区科技经信局。要加强节后企业复产监测调度，帮助协调解决复产过程中出现的困难和问题，力争提前复产。从2月</w:t>
      </w:r>
      <w:r>
        <w:rPr>
          <w:rFonts w:hint="default" w:ascii="Times New Roman" w:hAnsi="Times New Roman" w:eastAsia="仿宋_GB2312" w:cs="Times New Roman"/>
          <w:sz w:val="32"/>
          <w:szCs w:val="32"/>
        </w:rPr>
        <w:t>18</w:t>
      </w:r>
      <w:r>
        <w:rPr>
          <w:rFonts w:hint="eastAsia" w:ascii="仿宋_GB2312" w:hAnsi="Times New Roman" w:eastAsia="仿宋_GB2312" w:cs="仿宋_GB2312"/>
          <w:sz w:val="32"/>
          <w:szCs w:val="32"/>
        </w:rPr>
        <w:t>日起，每日</w:t>
      </w:r>
      <w:r>
        <w:rPr>
          <w:rFonts w:hint="default" w:ascii="Times New Roman" w:hAnsi="Times New Roman" w:eastAsia="仿宋_GB2312" w:cs="Times New Roman"/>
          <w:sz w:val="32"/>
          <w:szCs w:val="32"/>
        </w:rPr>
        <w:t>15:00</w:t>
      </w:r>
      <w:r>
        <w:rPr>
          <w:rFonts w:hint="eastAsia" w:ascii="仿宋_GB2312" w:hAnsi="Times New Roman" w:eastAsia="仿宋_GB2312" w:cs="仿宋_GB2312"/>
          <w:sz w:val="32"/>
          <w:szCs w:val="32"/>
        </w:rPr>
        <w:t>前向区科技经信局报送当日企业复产情况（见附件</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），并将复产企业名单一并报送。</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（二）强化稳产稳岗</w:t>
      </w:r>
      <w:r>
        <w:rPr>
          <w:rFonts w:hint="eastAsia" w:ascii="仿宋_GB2312" w:hAnsi="Times New Roman" w:eastAsia="仿宋_GB2312" w:cs="仿宋_GB2312"/>
          <w:sz w:val="32"/>
          <w:szCs w:val="32"/>
        </w:rPr>
        <w:t>。各乡镇街、区直有关单位要建立工作专班，指导企业提前做好春节期间生产组织安排，鼓励有市场、有效益、有订单的企业适当增加一季度排产计划。常态化开展走访帮扶，对春节期间连续生产企业进行走访慰问，妥善安排好职工生活。要加强资金、用能、用工、物流等要素保障，强化迎峰度冬期间能源保供协调，做好有序用电和电力缺口监测，优先保障重点行业企业平稳用电，帮助春节期间不停产的企业对接放假早、富余员工多的企业，积极探索共享用工。</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（三）强化为企服务</w:t>
      </w:r>
      <w:r>
        <w:rPr>
          <w:rFonts w:hint="eastAsia" w:ascii="仿宋_GB2312" w:hAnsi="Times New Roman" w:eastAsia="仿宋_GB2312" w:cs="仿宋_GB2312"/>
          <w:sz w:val="32"/>
          <w:szCs w:val="32"/>
        </w:rPr>
        <w:t>。各乡镇街、区直有关单位要全面落实国家和省出台的各项稳增长政策措施，积极组织开展各类供需对接活动，帮助企业开拓市场、增加订单。强化银企对接，加大多形式金融产品支持力度。持续强化清欠工作，抓好《保障中小企业款项支付条例》宣贯，确保同向发力、形成合力，帮助量大面广的中小微企业降本减负渡过难关、稳定经营。</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三、关于企业用工保障工作</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（一）精准摸排用工需求</w:t>
      </w:r>
      <w:r>
        <w:rPr>
          <w:rFonts w:hint="eastAsia" w:ascii="仿宋_GB2312" w:hAnsi="Times New Roman" w:eastAsia="仿宋_GB2312" w:cs="仿宋_GB2312"/>
          <w:sz w:val="32"/>
          <w:szCs w:val="32"/>
        </w:rPr>
        <w:t>。各乡镇街、区直有关单位要对企业春节后复工复产用工需求认真进行摸排，并报区人社部门审核汇总。</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（二）靶向推送缺工岗位</w:t>
      </w:r>
      <w:r>
        <w:rPr>
          <w:rFonts w:hint="eastAsia" w:ascii="仿宋_GB2312" w:hAnsi="Times New Roman" w:eastAsia="仿宋_GB2312" w:cs="仿宋_GB2312"/>
          <w:sz w:val="32"/>
          <w:szCs w:val="32"/>
        </w:rPr>
        <w:t>。各乡镇街要利用春节在外人员返乡机会，春节前至少召开一次返乡人员座谈会，介绍家乡情况和岗位需求信息。</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（三）精心开展</w:t>
      </w:r>
      <w:r>
        <w:rPr>
          <w:rFonts w:hint="default" w:ascii="Times New Roman" w:hAnsi="Times New Roman" w:cs="Times New Roman"/>
          <w:sz w:val="32"/>
          <w:szCs w:val="32"/>
        </w:rPr>
        <w:t>“</w:t>
      </w:r>
      <w:r>
        <w:rPr>
          <w:rFonts w:hint="eastAsia" w:ascii="楷体_GB2312" w:hAnsi="Times New Roman" w:eastAsia="楷体_GB2312" w:cs="楷体_GB2312"/>
          <w:sz w:val="32"/>
          <w:szCs w:val="32"/>
        </w:rPr>
        <w:t>送工进企</w:t>
      </w:r>
      <w:r>
        <w:rPr>
          <w:rFonts w:hint="default" w:ascii="Times New Roman" w:hAnsi="Times New Roman" w:cs="Times New Roman"/>
          <w:sz w:val="32"/>
          <w:szCs w:val="32"/>
        </w:rPr>
        <w:t>”</w:t>
      </w:r>
      <w:r>
        <w:rPr>
          <w:rFonts w:hint="eastAsia" w:ascii="楷体_GB2312" w:hAnsi="Times New Roman" w:eastAsia="楷体_GB2312" w:cs="楷体_GB2312"/>
          <w:sz w:val="32"/>
          <w:szCs w:val="32"/>
        </w:rPr>
        <w:t>活动</w:t>
      </w:r>
      <w:r>
        <w:rPr>
          <w:rFonts w:hint="eastAsia" w:ascii="仿宋_GB2312" w:hAnsi="Times New Roman" w:eastAsia="仿宋_GB2312" w:cs="仿宋_GB2312"/>
          <w:sz w:val="32"/>
          <w:szCs w:val="32"/>
        </w:rPr>
        <w:t>。各乡镇街、区直有关单位要认真摸</w:t>
      </w:r>
      <w:r>
        <w:rPr>
          <w:rFonts w:hint="eastAsia" w:ascii="仿宋_GB2312" w:hAnsi="Times New Roman" w:eastAsia="仿宋_GB2312" w:cs="仿宋_GB2312"/>
          <w:color w:val="000000"/>
          <w:sz w:val="32"/>
          <w:szCs w:val="32"/>
        </w:rPr>
        <w:t>排，根据劳动者就业意愿和企业招工条件，组织人员入企参观，通过实地观摩、双向交</w:t>
      </w:r>
      <w:r>
        <w:rPr>
          <w:rFonts w:hint="eastAsia" w:ascii="仿宋_GB2312" w:hAnsi="Times New Roman" w:eastAsia="仿宋_GB2312" w:cs="仿宋_GB2312"/>
          <w:sz w:val="32"/>
          <w:szCs w:val="32"/>
        </w:rPr>
        <w:t>流、现场洽谈，点对点精准送工。</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（四）建立专员服务机制</w:t>
      </w:r>
      <w:r>
        <w:rPr>
          <w:rFonts w:hint="eastAsia" w:ascii="仿宋_GB2312" w:hAnsi="Times New Roman" w:eastAsia="仿宋_GB2312" w:cs="仿宋_GB2312"/>
          <w:sz w:val="32"/>
          <w:szCs w:val="32"/>
        </w:rPr>
        <w:t>。区人社部门要在重点企业派驻人社服务专员，帮助企业摸清用工需求、建立需求台账，“一企一策”做好用工保障服务，实现重点企业员工总数清、缺工人数清、空岗结构清、问题困难清。</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四、关于冬春田间管理工作</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（一）抓好小麦田间管理</w:t>
      </w:r>
      <w:r>
        <w:rPr>
          <w:rFonts w:hint="eastAsia" w:ascii="仿宋_GB2312" w:hAnsi="Times New Roman" w:eastAsia="仿宋_GB2312" w:cs="仿宋_GB2312"/>
          <w:sz w:val="32"/>
          <w:szCs w:val="32"/>
        </w:rPr>
        <w:t>。秋种以来，气温</w:t>
      </w:r>
      <w:r>
        <w:rPr>
          <w:rFonts w:hint="default" w:ascii="Times New Roman" w:hAnsi="Times New Roman" w:cs="Times New Roman"/>
          <w:sz w:val="32"/>
          <w:szCs w:val="32"/>
        </w:rPr>
        <w:t>“</w:t>
      </w:r>
      <w:r>
        <w:rPr>
          <w:rFonts w:hint="eastAsia" w:ascii="仿宋_GB2312" w:hAnsi="Times New Roman" w:eastAsia="仿宋_GB2312" w:cs="仿宋_GB2312"/>
          <w:sz w:val="32"/>
          <w:szCs w:val="32"/>
        </w:rPr>
        <w:t>前暖后寒</w:t>
      </w:r>
      <w:r>
        <w:rPr>
          <w:rFonts w:hint="default" w:ascii="Times New Roman" w:hAnsi="Times New Roman" w:cs="Times New Roman"/>
          <w:sz w:val="32"/>
          <w:szCs w:val="32"/>
        </w:rPr>
        <w:t>”</w:t>
      </w:r>
      <w:r>
        <w:rPr>
          <w:rFonts w:hint="eastAsia" w:ascii="仿宋_GB2312" w:hAnsi="Times New Roman" w:eastAsia="仿宋_GB2312" w:cs="仿宋_GB2312"/>
          <w:sz w:val="32"/>
          <w:szCs w:val="32"/>
        </w:rPr>
        <w:t>，小麦越冬期推迟，增加了旺长和冻害发生的风险</w:t>
      </w:r>
      <w:r>
        <w:rPr>
          <w:rFonts w:hint="eastAsia" w:ascii="仿宋_GB2312" w:hAnsi="Times New Roman" w:eastAsia="仿宋_GB2312" w:cs="仿宋_GB2312"/>
          <w:color w:val="000000"/>
          <w:sz w:val="32"/>
          <w:szCs w:val="32"/>
        </w:rPr>
        <w:t>。要坚持因苗因地因墒开展镇压，控地上分蘖、促地下长根、保稳健生长。对于群体偏小、穗数可能不足的三类苗以及脱力落黄、受渍害较重的麦田，要在</w:t>
      </w:r>
      <w:r>
        <w:rPr>
          <w:rFonts w:hint="default" w:ascii="Times New Roman" w:hAnsi="Times New Roman" w:cs="Times New Roman"/>
          <w:color w:val="000000"/>
          <w:sz w:val="32"/>
          <w:szCs w:val="32"/>
        </w:rPr>
        <w:t>2</w:t>
      </w:r>
      <w:r>
        <w:rPr>
          <w:rFonts w:hint="eastAsia" w:ascii="仿宋_GB2312" w:hAnsi="Times New Roman" w:eastAsia="仿宋_GB2312" w:cs="仿宋_GB2312"/>
          <w:color w:val="000000"/>
          <w:sz w:val="32"/>
          <w:szCs w:val="32"/>
        </w:rPr>
        <w:t>月中旬左右施用返青肥。</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（二）抓好油菜田间管理</w:t>
      </w:r>
      <w:r>
        <w:rPr>
          <w:rFonts w:hint="eastAsia" w:ascii="仿宋_GB2312" w:hAnsi="Times New Roman" w:eastAsia="仿宋_GB2312" w:cs="仿宋_GB2312"/>
          <w:sz w:val="32"/>
          <w:szCs w:val="32"/>
        </w:rPr>
        <w:t>。按照轻度、中等、严重、花蕾期、致死等5种冻害类型，分类分级落实油菜肥水管理技术措施，及时清理“三沟”、降低田间湿度，做到雨止田干、沟无积水。冬前油菜蚜虫发生风险较大的地区，要注意病虫害防治。</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（三）抓好蔬菜田间管理</w:t>
      </w:r>
      <w:r>
        <w:rPr>
          <w:rFonts w:hint="eastAsia" w:ascii="仿宋_GB2312" w:hAnsi="Times New Roman" w:eastAsia="仿宋_GB2312" w:cs="仿宋_GB2312"/>
          <w:sz w:val="32"/>
          <w:szCs w:val="32"/>
        </w:rPr>
        <w:t>。加固大棚设施，更换、清理或缝补老旧破损棚膜。露地蔬菜产区要加强中耕培土，寒潮过后加强遮阳覆盖，延缓冻融，防止冻害。做好蔬菜植株调整，提高通风透光性，适当疏花疏果，以防植株出现早衰。及时剪去受冻的茎叶，防止诱发病害。已成熟蔬菜，及时组织采收上市。</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（四）抓好产销衔接</w:t>
      </w:r>
      <w:r>
        <w:rPr>
          <w:rFonts w:hint="eastAsia" w:ascii="仿宋_GB2312" w:hAnsi="Times New Roman" w:eastAsia="仿宋_GB2312" w:cs="仿宋_GB2312"/>
          <w:sz w:val="32"/>
          <w:szCs w:val="32"/>
        </w:rPr>
        <w:t>。摸清辖区内蔬菜种植种类、面积、产量、上市档期、本地需求等信息，引导蔬菜种植户合理安排生产，做好市场余缺调剂，稳定市场预期。加强与合肥、上海等地的产销信息沟通协调，根据市场需求，及时组织货源、协调调运、保障供应。交通、公安等部门要畅通鲜活农产品运输“绿色通道”，提高运输效率，降低运输成本，促进蔬菜等重要农产品快速有序流通，确保进得了城、入得了店。</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各乡镇街、区直有关单位要切实提高站位，加强组织领导，明确工作责任，细化工作举措，强化协同配合，力戒形式主义官僚主义，以优良作风狠抓工作落实。要统筹发展与安全，指导督促企业落实安全生产主体责任，全面排查整治风险隐患，坚决防范遏制各类安全生产事故。加强值班值守，紧急情况按规定及时上报。</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联系人及联系方式：区发改委</w:t>
      </w:r>
      <w:r>
        <w:rPr>
          <w:rFonts w:ascii="仿宋" w:hAnsi="仿宋" w:eastAsia="仿宋" w:cs="仿宋"/>
          <w:sz w:val="32"/>
          <w:szCs w:val="32"/>
        </w:rPr>
        <w:t>凃</w:t>
      </w:r>
      <w:r>
        <w:rPr>
          <w:rFonts w:hint="eastAsia" w:ascii="仿宋_GB2312" w:hAnsi="Times New Roman" w:eastAsia="仿宋_GB2312" w:cs="仿宋_GB2312"/>
          <w:sz w:val="32"/>
          <w:szCs w:val="32"/>
        </w:rPr>
        <w:t>婷婷，电话0564-2778916；区科技经信局张力生，电话</w:t>
      </w:r>
      <w:r>
        <w:rPr>
          <w:rFonts w:hint="default" w:ascii="Times New Roman" w:hAnsi="Times New Roman" w:eastAsia="仿宋_GB2312" w:cs="Times New Roman"/>
          <w:sz w:val="32"/>
          <w:szCs w:val="32"/>
        </w:rPr>
        <w:t>0564-6489468</w:t>
      </w:r>
      <w:r>
        <w:rPr>
          <w:rFonts w:hint="eastAsia" w:ascii="仿宋_GB2312" w:hAnsi="Times New Roman" w:eastAsia="仿宋_GB2312" w:cs="仿宋_GB2312"/>
          <w:color w:val="000000"/>
          <w:sz w:val="32"/>
          <w:szCs w:val="32"/>
        </w:rPr>
        <w:t>；区人社局台海艳，电话0564-5129088；区农业农村局胡远峰，电话</w:t>
      </w:r>
      <w:r>
        <w:rPr>
          <w:rFonts w:hint="default" w:ascii="Times New Roman" w:hAnsi="Times New Roman" w:eastAsia="仿宋_GB2312" w:cs="Times New Roman"/>
          <w:color w:val="000000"/>
          <w:sz w:val="32"/>
          <w:szCs w:val="32"/>
        </w:rPr>
        <w:t>0564-6559009</w:t>
      </w:r>
      <w:r>
        <w:rPr>
          <w:rFonts w:hint="eastAsia" w:ascii="仿宋_GB2312" w:hAnsi="Times New Roman" w:eastAsia="仿宋_GB2312" w:cs="仿宋_GB2312"/>
          <w:color w:val="000000"/>
          <w:sz w:val="32"/>
          <w:szCs w:val="32"/>
        </w:rPr>
        <w:t>。</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附件：</w:t>
      </w:r>
      <w:r>
        <w:rPr>
          <w:rFonts w:hint="default" w:ascii="Times New Roman" w:hAnsi="Times New Roman" w:cs="Times New Roman"/>
          <w:sz w:val="32"/>
          <w:szCs w:val="32"/>
        </w:rPr>
        <w:t>1</w:t>
      </w:r>
      <w:r>
        <w:rPr>
          <w:rFonts w:hint="eastAsia" w:ascii="仿宋_GB2312" w:hAnsi="Times New Roman" w:eastAsia="仿宋_GB2312" w:cs="仿宋_GB2312"/>
          <w:sz w:val="32"/>
          <w:szCs w:val="32"/>
        </w:rPr>
        <w:t>．重点项目复工日报表</w:t>
      </w:r>
    </w:p>
    <w:p>
      <w:pPr>
        <w:pStyle w:val="2"/>
        <w:keepNext w:val="0"/>
        <w:keepLines w:val="0"/>
        <w:widowControl/>
        <w:suppressLineNumbers w:val="0"/>
        <w:spacing w:before="0" w:beforeAutospacing="0" w:after="0" w:afterAutospacing="0" w:line="576" w:lineRule="atLeast"/>
        <w:ind w:left="0" w:right="0" w:firstLine="1609"/>
        <w:jc w:val="both"/>
        <w:rPr>
          <w:rFonts w:hint="default" w:ascii="Times New Roman" w:hAnsi="Times New Roman" w:cs="Times New Roman"/>
          <w:sz w:val="21"/>
          <w:szCs w:val="21"/>
        </w:rPr>
      </w:pPr>
      <w:r>
        <w:rPr>
          <w:rFonts w:hint="default" w:ascii="Times New Roman" w:hAnsi="Times New Roman" w:cs="Times New Roman"/>
          <w:sz w:val="32"/>
          <w:szCs w:val="32"/>
        </w:rPr>
        <w:t>2</w:t>
      </w:r>
      <w:r>
        <w:rPr>
          <w:rFonts w:hint="eastAsia" w:ascii="仿宋_GB2312" w:hAnsi="Times New Roman" w:eastAsia="仿宋_GB2312" w:cs="仿宋_GB2312"/>
          <w:sz w:val="32"/>
          <w:szCs w:val="32"/>
        </w:rPr>
        <w:t>．规模以上工业企业复产情况表</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416" w:firstLine="640"/>
        <w:jc w:val="right"/>
        <w:rPr>
          <w:rFonts w:hint="default" w:ascii="Times New Roman" w:hAnsi="Times New Roman" w:cs="Times New Roman"/>
          <w:sz w:val="21"/>
          <w:szCs w:val="21"/>
        </w:rPr>
      </w:pPr>
      <w:r>
        <w:rPr>
          <w:rFonts w:hint="default" w:ascii="Times New Roman" w:hAnsi="Times New Roman" w:cs="Times New Roman"/>
          <w:sz w:val="21"/>
          <w:szCs w:val="21"/>
        </w:rPr>
        <w:br w:type="textWrapping"/>
      </w:r>
      <w:r>
        <w:rPr>
          <w:rFonts w:hint="eastAsia" w:ascii="仿宋_GB2312" w:hAnsi="Times New Roman" w:eastAsia="仿宋_GB2312" w:cs="仿宋_GB2312"/>
          <w:sz w:val="32"/>
          <w:szCs w:val="32"/>
        </w:rPr>
        <w:t>六安市叶集区人民政府办公室</w:t>
      </w:r>
    </w:p>
    <w:p>
      <w:pPr>
        <w:pStyle w:val="2"/>
        <w:keepNext w:val="0"/>
        <w:keepLines w:val="0"/>
        <w:widowControl/>
        <w:suppressLineNumbers w:val="0"/>
        <w:spacing w:before="0" w:beforeAutospacing="0" w:after="0" w:afterAutospacing="0" w:line="576" w:lineRule="atLeast"/>
        <w:ind w:left="0" w:right="1260" w:firstLine="640"/>
        <w:jc w:val="right"/>
        <w:rPr>
          <w:rFonts w:hint="default" w:ascii="Times New Roman" w:hAnsi="Times New Roman" w:cs="Times New Roman"/>
          <w:sz w:val="21"/>
          <w:szCs w:val="21"/>
        </w:rPr>
      </w:pPr>
      <w:r>
        <w:rPr>
          <w:rFonts w:hint="default" w:ascii="Times New Roman" w:hAnsi="Times New Roman" w:cs="Times New Roman"/>
          <w:sz w:val="32"/>
          <w:szCs w:val="32"/>
        </w:rPr>
        <w:t>2024</w:t>
      </w:r>
      <w:r>
        <w:rPr>
          <w:rFonts w:hint="eastAsia" w:ascii="仿宋_GB2312" w:hAnsi="Times New Roman" w:eastAsia="仿宋_GB2312" w:cs="仿宋_GB2312"/>
          <w:sz w:val="32"/>
          <w:szCs w:val="32"/>
        </w:rPr>
        <w:t>年</w:t>
      </w:r>
      <w:r>
        <w:rPr>
          <w:rFonts w:hint="default" w:ascii="Times New Roman" w:hAnsi="Times New Roman" w:cs="Times New Roman"/>
          <w:sz w:val="32"/>
          <w:szCs w:val="32"/>
        </w:rPr>
        <w:t>2</w:t>
      </w:r>
      <w:r>
        <w:rPr>
          <w:rFonts w:hint="eastAsia" w:ascii="仿宋_GB2312" w:hAnsi="Times New Roman" w:eastAsia="仿宋_GB2312" w:cs="仿宋_GB2312"/>
          <w:sz w:val="32"/>
          <w:szCs w:val="32"/>
        </w:rPr>
        <w:t>月</w:t>
      </w:r>
      <w:r>
        <w:rPr>
          <w:rFonts w:hint="default" w:ascii="Times New Roman" w:hAnsi="Times New Roman" w:cs="Times New Roman"/>
          <w:sz w:val="32"/>
          <w:szCs w:val="32"/>
        </w:rPr>
        <w:t>8</w:t>
      </w:r>
      <w:r>
        <w:rPr>
          <w:rFonts w:hint="eastAsia" w:ascii="仿宋_GB2312" w:hAnsi="Times New Roman" w:eastAsia="仿宋_GB2312" w:cs="仿宋_GB2312"/>
          <w:sz w:val="32"/>
          <w:szCs w:val="32"/>
        </w:rPr>
        <w:t>日</w:t>
      </w:r>
    </w:p>
    <w:p>
      <w:pPr>
        <w:pStyle w:val="2"/>
        <w:keepNext w:val="0"/>
        <w:keepLines w:val="0"/>
        <w:widowControl/>
        <w:suppressLineNumbers w:val="0"/>
        <w:spacing w:before="0" w:beforeAutospacing="0" w:after="0" w:afterAutospacing="0" w:line="576" w:lineRule="atLeast"/>
        <w:ind w:left="0" w:right="1260"/>
        <w:jc w:val="both"/>
        <w:rPr>
          <w:rFonts w:hint="eastAsia" w:ascii="黑体" w:hAnsi="宋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黑体" w:hAnsi="宋体" w:eastAsia="黑体" w:cs="黑体"/>
          <w:sz w:val="32"/>
          <w:szCs w:val="32"/>
        </w:rPr>
        <w:br w:type="page"/>
      </w:r>
    </w:p>
    <w:p>
      <w:pPr>
        <w:pStyle w:val="2"/>
        <w:keepNext w:val="0"/>
        <w:keepLines w:val="0"/>
        <w:widowControl/>
        <w:suppressLineNumbers w:val="0"/>
        <w:spacing w:before="0" w:beforeAutospacing="0" w:after="0" w:afterAutospacing="0" w:line="576" w:lineRule="atLeast"/>
        <w:ind w:left="0" w:right="1260"/>
        <w:jc w:val="both"/>
        <w:rPr>
          <w:rFonts w:hint="default" w:ascii="Times New Roman" w:hAnsi="Times New Roman" w:cs="Times New Roman"/>
          <w:sz w:val="21"/>
          <w:szCs w:val="21"/>
        </w:rPr>
      </w:pPr>
      <w:r>
        <w:rPr>
          <w:rFonts w:hint="eastAsia" w:ascii="黑体" w:hAnsi="宋体" w:eastAsia="黑体" w:cs="黑体"/>
          <w:sz w:val="32"/>
          <w:szCs w:val="32"/>
        </w:rPr>
        <w:t>附件1</w:t>
      </w:r>
    </w:p>
    <w:p>
      <w:pPr>
        <w:pStyle w:val="2"/>
        <w:keepNext w:val="0"/>
        <w:keepLines w:val="0"/>
        <w:widowControl/>
        <w:suppressLineNumbers w:val="0"/>
        <w:spacing w:before="0" w:beforeAutospacing="0" w:after="0" w:afterAutospacing="0" w:line="576" w:lineRule="atLeast"/>
        <w:ind w:left="0" w:right="126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126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rPr>
        <w:t>重点项目复工日报表</w:t>
      </w:r>
    </w:p>
    <w:p>
      <w:pPr>
        <w:pStyle w:val="2"/>
        <w:keepNext w:val="0"/>
        <w:keepLines w:val="0"/>
        <w:widowControl/>
        <w:suppressLineNumbers w:val="0"/>
        <w:spacing w:before="0" w:beforeAutospacing="0" w:after="0" w:afterAutospacing="0" w:line="576" w:lineRule="atLeast"/>
        <w:ind w:left="0" w:right="1260"/>
        <w:jc w:val="both"/>
        <w:rPr>
          <w:rFonts w:hint="default" w:ascii="Times New Roman" w:hAnsi="Times New Roman" w:cs="Times New Roman"/>
          <w:sz w:val="21"/>
          <w:szCs w:val="21"/>
        </w:rPr>
      </w:pPr>
      <w:r>
        <w:rPr>
          <w:rFonts w:ascii="华文中宋" w:hAnsi="华文中宋" w:eastAsia="华文中宋" w:cs="华文中宋"/>
          <w:sz w:val="21"/>
          <w:szCs w:val="21"/>
        </w:rPr>
        <w:t>填报单位：</w:t>
      </w:r>
    </w:p>
    <w:tbl>
      <w:tblPr>
        <w:tblW w:w="128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75"/>
        <w:gridCol w:w="2695"/>
        <w:gridCol w:w="1276"/>
        <w:gridCol w:w="851"/>
        <w:gridCol w:w="849"/>
        <w:gridCol w:w="851"/>
        <w:gridCol w:w="854"/>
        <w:gridCol w:w="851"/>
        <w:gridCol w:w="851"/>
        <w:gridCol w:w="1273"/>
        <w:gridCol w:w="18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47" w:hRule="atLeast"/>
        </w:trPr>
        <w:tc>
          <w:tcPr>
            <w:tcW w:w="675" w:type="dxa"/>
            <w:vMerge w:val="restart"/>
            <w:tcBorders>
              <w:top w:val="single" w:color="auto" w:sz="12"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序号</w:t>
            </w:r>
          </w:p>
        </w:tc>
        <w:tc>
          <w:tcPr>
            <w:tcW w:w="2695" w:type="dxa"/>
            <w:vMerge w:val="restart"/>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项目名称</w:t>
            </w:r>
          </w:p>
        </w:tc>
        <w:tc>
          <w:tcPr>
            <w:tcW w:w="1276" w:type="dxa"/>
            <w:vMerge w:val="restart"/>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复工时间</w:t>
            </w:r>
          </w:p>
        </w:tc>
        <w:tc>
          <w:tcPr>
            <w:tcW w:w="2551" w:type="dxa"/>
            <w:gridSpan w:val="3"/>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管理人员</w:t>
            </w:r>
          </w:p>
        </w:tc>
        <w:tc>
          <w:tcPr>
            <w:tcW w:w="2556" w:type="dxa"/>
            <w:gridSpan w:val="3"/>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施工人员</w:t>
            </w:r>
          </w:p>
        </w:tc>
        <w:tc>
          <w:tcPr>
            <w:tcW w:w="1273" w:type="dxa"/>
            <w:vMerge w:val="restart"/>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现场机械</w:t>
            </w:r>
          </w:p>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到位情况</w:t>
            </w:r>
          </w:p>
        </w:tc>
        <w:tc>
          <w:tcPr>
            <w:tcW w:w="1834" w:type="dxa"/>
            <w:vMerge w:val="restart"/>
            <w:tcBorders>
              <w:top w:val="single" w:color="auto" w:sz="12"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困难及帮扶情况（</w:t>
            </w:r>
            <w:r>
              <w:rPr>
                <w:rFonts w:hint="default" w:ascii="Times New Roman" w:hAnsi="Times New Roman" w:cs="Times New Roman"/>
                <w:sz w:val="21"/>
                <w:szCs w:val="21"/>
              </w:rPr>
              <w:t>主要填写项目复工存在的困难问题及解决情</w:t>
            </w:r>
            <w:r>
              <w:rPr>
                <w:rFonts w:hint="eastAsia" w:ascii="黑体" w:hAnsi="宋体" w:eastAsia="黑体" w:cs="黑体"/>
                <w:sz w:val="21"/>
                <w:szCs w:val="21"/>
              </w:rPr>
              <w:t>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75" w:type="dxa"/>
            <w:vMerge w:val="continue"/>
            <w:tcBorders>
              <w:top w:val="single" w:color="auto" w:sz="12"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695" w:type="dxa"/>
            <w:vMerge w:val="continue"/>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6" w:type="dxa"/>
            <w:vMerge w:val="continue"/>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应到</w:t>
            </w:r>
          </w:p>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人员数</w:t>
            </w:r>
          </w:p>
        </w:tc>
        <w:tc>
          <w:tcPr>
            <w:tcW w:w="84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实际</w:t>
            </w:r>
          </w:p>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到岗数</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到岗率</w:t>
            </w:r>
          </w:p>
        </w:tc>
        <w:tc>
          <w:tcPr>
            <w:tcW w:w="854"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应到</w:t>
            </w:r>
          </w:p>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人员数</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实际</w:t>
            </w:r>
          </w:p>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到岗数</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到岗率</w:t>
            </w:r>
          </w:p>
        </w:tc>
        <w:tc>
          <w:tcPr>
            <w:tcW w:w="1273" w:type="dxa"/>
            <w:vMerge w:val="continue"/>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34" w:type="dxa"/>
            <w:vMerge w:val="continue"/>
            <w:tcBorders>
              <w:top w:val="single" w:color="auto" w:sz="12"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0" w:hRule="atLeast"/>
        </w:trPr>
        <w:tc>
          <w:tcPr>
            <w:tcW w:w="675"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1</w:t>
            </w:r>
          </w:p>
        </w:tc>
        <w:tc>
          <w:tcPr>
            <w:tcW w:w="2695"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4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4"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3"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34"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50" w:hRule="atLeast"/>
        </w:trPr>
        <w:tc>
          <w:tcPr>
            <w:tcW w:w="675"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2</w:t>
            </w:r>
          </w:p>
        </w:tc>
        <w:tc>
          <w:tcPr>
            <w:tcW w:w="2695"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4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4"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3"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34"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0" w:hRule="atLeast"/>
        </w:trPr>
        <w:tc>
          <w:tcPr>
            <w:tcW w:w="675"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w:t>
            </w:r>
          </w:p>
        </w:tc>
        <w:tc>
          <w:tcPr>
            <w:tcW w:w="2695"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4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4"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3"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34"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0" w:hRule="atLeast"/>
        </w:trPr>
        <w:tc>
          <w:tcPr>
            <w:tcW w:w="4646" w:type="dxa"/>
            <w:gridSpan w:val="3"/>
            <w:tcBorders>
              <w:top w:val="single" w:color="auto" w:sz="4" w:space="0"/>
              <w:left w:val="single" w:color="auto" w:sz="12"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合 </w:t>
            </w:r>
            <w:r>
              <w:rPr>
                <w:rFonts w:hint="default" w:ascii="Times New Roman" w:hAnsi="Times New Roman" w:cs="Times New Roman"/>
                <w:sz w:val="21"/>
                <w:szCs w:val="21"/>
              </w:rPr>
              <w:t> </w:t>
            </w:r>
            <w:r>
              <w:rPr>
                <w:rFonts w:hint="eastAsia" w:ascii="华文中宋" w:hAnsi="华文中宋" w:eastAsia="华文中宋" w:cs="华文中宋"/>
                <w:sz w:val="21"/>
                <w:szCs w:val="21"/>
              </w:rPr>
              <w:t> </w:t>
            </w:r>
            <w:r>
              <w:rPr>
                <w:rFonts w:hint="default" w:ascii="Times New Roman" w:hAnsi="Times New Roman" w:cs="Times New Roman"/>
                <w:sz w:val="21"/>
                <w:szCs w:val="21"/>
              </w:rPr>
              <w:t> </w:t>
            </w:r>
            <w:r>
              <w:rPr>
                <w:rFonts w:hint="eastAsia" w:ascii="华文中宋" w:hAnsi="华文中宋" w:eastAsia="华文中宋" w:cs="华文中宋"/>
                <w:sz w:val="21"/>
                <w:szCs w:val="21"/>
              </w:rPr>
              <w:t>计</w:t>
            </w:r>
          </w:p>
        </w:tc>
        <w:tc>
          <w:tcPr>
            <w:tcW w:w="851"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49"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4"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851"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3"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34" w:type="dxa"/>
            <w:tcBorders>
              <w:top w:val="single" w:color="auto" w:sz="4" w:space="0"/>
              <w:left w:val="single" w:color="auto" w:sz="4" w:space="0"/>
              <w:bottom w:val="single" w:color="auto" w:sz="12"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pPr>
        <w:pStyle w:val="2"/>
        <w:keepNext w:val="0"/>
        <w:keepLines w:val="0"/>
        <w:widowControl/>
        <w:suppressLineNumbers w:val="0"/>
        <w:spacing w:before="0" w:beforeAutospacing="0" w:after="0" w:afterAutospacing="0" w:line="576" w:lineRule="atLeast"/>
        <w:ind w:left="0" w:right="1260"/>
        <w:jc w:val="both"/>
        <w:rPr>
          <w:rFonts w:hint="default" w:ascii="Times New Roman" w:hAnsi="Times New Roman" w:cs="Times New Roman"/>
          <w:sz w:val="21"/>
          <w:szCs w:val="21"/>
        </w:rPr>
      </w:pPr>
      <w:r>
        <w:rPr>
          <w:rFonts w:hint="default" w:ascii="Times New Roman" w:hAnsi="Times New Roman" w:cs="Times New Roman"/>
          <w:sz w:val="21"/>
          <w:szCs w:val="21"/>
        </w:rPr>
        <w:br w:type="page"/>
      </w:r>
      <w:r>
        <w:rPr>
          <w:rFonts w:hint="eastAsia" w:ascii="黑体" w:hAnsi="宋体" w:eastAsia="黑体" w:cs="黑体"/>
          <w:sz w:val="32"/>
          <w:szCs w:val="32"/>
        </w:rPr>
        <w:t>附件2</w:t>
      </w:r>
    </w:p>
    <w:p>
      <w:pPr>
        <w:pStyle w:val="2"/>
        <w:keepNext w:val="0"/>
        <w:keepLines w:val="0"/>
        <w:widowControl/>
        <w:suppressLineNumbers w:val="0"/>
        <w:spacing w:before="0" w:beforeAutospacing="0" w:after="0" w:afterAutospacing="0" w:line="400" w:lineRule="atLeast"/>
        <w:ind w:left="0" w:right="126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126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rPr>
        <w:t>规模以上工业企业复产情况表</w:t>
      </w:r>
    </w:p>
    <w:p>
      <w:pPr>
        <w:pStyle w:val="2"/>
        <w:keepNext w:val="0"/>
        <w:keepLines w:val="0"/>
        <w:widowControl/>
        <w:suppressLineNumbers w:val="0"/>
        <w:spacing w:before="0" w:beforeAutospacing="0" w:after="0" w:afterAutospacing="0" w:line="576" w:lineRule="atLeast"/>
        <w:ind w:left="0" w:right="1260"/>
        <w:jc w:val="both"/>
        <w:rPr>
          <w:rFonts w:hint="default" w:ascii="Times New Roman" w:hAnsi="Times New Roman" w:cs="Times New Roman"/>
          <w:sz w:val="21"/>
          <w:szCs w:val="21"/>
        </w:rPr>
      </w:pPr>
      <w:r>
        <w:rPr>
          <w:rFonts w:hint="eastAsia" w:ascii="华文中宋" w:hAnsi="华文中宋" w:eastAsia="华文中宋" w:cs="华文中宋"/>
          <w:sz w:val="21"/>
          <w:szCs w:val="21"/>
        </w:rPr>
        <w:t>填报单位：</w:t>
      </w:r>
    </w:p>
    <w:tbl>
      <w:tblPr>
        <w:tblW w:w="1285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384"/>
        <w:gridCol w:w="1701"/>
        <w:gridCol w:w="1559"/>
        <w:gridCol w:w="1134"/>
        <w:gridCol w:w="1276"/>
        <w:gridCol w:w="1276"/>
        <w:gridCol w:w="45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0" w:hRule="atLeast"/>
        </w:trPr>
        <w:tc>
          <w:tcPr>
            <w:tcW w:w="1384" w:type="dxa"/>
            <w:tcBorders>
              <w:top w:val="single" w:color="auto" w:sz="12"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日期</w:t>
            </w:r>
          </w:p>
        </w:tc>
        <w:tc>
          <w:tcPr>
            <w:tcW w:w="1701" w:type="dxa"/>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规上工业企业数</w:t>
            </w:r>
          </w:p>
        </w:tc>
        <w:tc>
          <w:tcPr>
            <w:tcW w:w="1559" w:type="dxa"/>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已复工企业数</w:t>
            </w:r>
          </w:p>
        </w:tc>
        <w:tc>
          <w:tcPr>
            <w:tcW w:w="1134" w:type="dxa"/>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复工率</w:t>
            </w:r>
          </w:p>
        </w:tc>
        <w:tc>
          <w:tcPr>
            <w:tcW w:w="1276" w:type="dxa"/>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员工到岗数</w:t>
            </w:r>
          </w:p>
        </w:tc>
        <w:tc>
          <w:tcPr>
            <w:tcW w:w="1276" w:type="dxa"/>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到岗率</w:t>
            </w:r>
          </w:p>
        </w:tc>
        <w:tc>
          <w:tcPr>
            <w:tcW w:w="4528" w:type="dxa"/>
            <w:tcBorders>
              <w:top w:val="single" w:color="auto" w:sz="12"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未复工企业中可能停产的企业名单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0" w:hRule="atLeast"/>
        </w:trPr>
        <w:tc>
          <w:tcPr>
            <w:tcW w:w="1384"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华文中宋" w:hAnsi="华文中宋" w:eastAsia="华文中宋" w:cs="华文中宋"/>
                <w:sz w:val="21"/>
                <w:szCs w:val="21"/>
              </w:rPr>
              <w:t>月</w:t>
            </w:r>
            <w:r>
              <w:rPr>
                <w:rFonts w:hint="default" w:ascii="Times New Roman" w:hAnsi="Times New Roman" w:cs="Times New Roman"/>
                <w:sz w:val="21"/>
                <w:szCs w:val="21"/>
              </w:rPr>
              <w:t>18</w:t>
            </w:r>
            <w:r>
              <w:rPr>
                <w:rFonts w:hint="eastAsia" w:ascii="华文中宋" w:hAnsi="华文中宋" w:eastAsia="华文中宋" w:cs="华文中宋"/>
                <w:sz w:val="21"/>
                <w:szCs w:val="21"/>
              </w:rPr>
              <w:t>日</w:t>
            </w:r>
          </w:p>
        </w:tc>
        <w:tc>
          <w:tcPr>
            <w:tcW w:w="170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134"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528"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0" w:hRule="atLeast"/>
        </w:trPr>
        <w:tc>
          <w:tcPr>
            <w:tcW w:w="1384"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华文中宋" w:hAnsi="华文中宋" w:eastAsia="华文中宋" w:cs="华文中宋"/>
                <w:sz w:val="21"/>
                <w:szCs w:val="21"/>
              </w:rPr>
              <w:t>月</w:t>
            </w:r>
            <w:r>
              <w:rPr>
                <w:rFonts w:hint="default" w:ascii="Times New Roman" w:hAnsi="Times New Roman" w:cs="Times New Roman"/>
                <w:sz w:val="21"/>
                <w:szCs w:val="21"/>
              </w:rPr>
              <w:t>19</w:t>
            </w:r>
            <w:r>
              <w:rPr>
                <w:rFonts w:hint="eastAsia" w:ascii="华文中宋" w:hAnsi="华文中宋" w:eastAsia="华文中宋" w:cs="华文中宋"/>
                <w:sz w:val="21"/>
                <w:szCs w:val="21"/>
              </w:rPr>
              <w:t>日</w:t>
            </w:r>
          </w:p>
        </w:tc>
        <w:tc>
          <w:tcPr>
            <w:tcW w:w="170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134"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528"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50" w:hRule="atLeast"/>
        </w:trPr>
        <w:tc>
          <w:tcPr>
            <w:tcW w:w="1384"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华文中宋" w:hAnsi="华文中宋" w:eastAsia="华文中宋" w:cs="华文中宋"/>
                <w:sz w:val="21"/>
                <w:szCs w:val="21"/>
              </w:rPr>
              <w:t>月</w:t>
            </w:r>
            <w:r>
              <w:rPr>
                <w:rFonts w:hint="default" w:ascii="Times New Roman" w:hAnsi="Times New Roman" w:cs="Times New Roman"/>
                <w:sz w:val="21"/>
                <w:szCs w:val="21"/>
              </w:rPr>
              <w:t>20</w:t>
            </w:r>
            <w:r>
              <w:rPr>
                <w:rFonts w:hint="eastAsia" w:ascii="华文中宋" w:hAnsi="华文中宋" w:eastAsia="华文中宋" w:cs="华文中宋"/>
                <w:sz w:val="21"/>
                <w:szCs w:val="21"/>
              </w:rPr>
              <w:t>日</w:t>
            </w:r>
          </w:p>
        </w:tc>
        <w:tc>
          <w:tcPr>
            <w:tcW w:w="170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5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134"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528"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0" w:hRule="atLeast"/>
        </w:trPr>
        <w:tc>
          <w:tcPr>
            <w:tcW w:w="1384" w:type="dxa"/>
            <w:tcBorders>
              <w:top w:val="single" w:color="auto" w:sz="4" w:space="0"/>
              <w:left w:val="single" w:color="auto" w:sz="12"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w:t>
            </w:r>
          </w:p>
        </w:tc>
        <w:tc>
          <w:tcPr>
            <w:tcW w:w="1701"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59"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134"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276"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528" w:type="dxa"/>
            <w:tcBorders>
              <w:top w:val="single" w:color="auto" w:sz="4" w:space="0"/>
              <w:left w:val="single" w:color="auto" w:sz="4" w:space="0"/>
              <w:bottom w:val="single" w:color="auto" w:sz="12"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tc>
      </w:tr>
    </w:tbl>
    <w:p>
      <w:pPr>
        <w:pStyle w:val="2"/>
        <w:keepNext w:val="0"/>
        <w:keepLines w:val="0"/>
        <w:widowControl/>
        <w:suppressLineNumbers w:val="0"/>
        <w:spacing w:before="0" w:beforeAutospacing="0" w:after="0" w:afterAutospacing="0" w:line="576" w:lineRule="atLeast"/>
        <w:ind w:left="0" w:right="0" w:firstLine="420"/>
        <w:jc w:val="left"/>
        <w:rPr>
          <w:rFonts w:hint="default" w:ascii="Times New Roman" w:hAnsi="Times New Roman" w:cs="Times New Roman"/>
          <w:sz w:val="21"/>
          <w:szCs w:val="21"/>
        </w:rPr>
      </w:pPr>
      <w:r>
        <w:rPr>
          <w:rFonts w:hint="default" w:ascii="Times New Roman" w:hAnsi="Times New Roman" w:cs="Times New Roman"/>
          <w:sz w:val="21"/>
          <w:szCs w:val="21"/>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315B8"/>
    <w:rsid w:val="5CC3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2024-03-28T01:55:00Z</dcterms:created>
  <dc:creator>周圆圆</dc:creator>
  <cp:lastModifiedBy>周圆圆</cp:lastModifiedBy>
  <dcterms:modified xsi:type="dcterms:W3CDTF">2024-03-28T01:59:28Z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