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u w:val="none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u w:val="none"/>
          <w:lang w:val="en-US" w:eastAsia="zh-CN" w:bidi="ar"/>
        </w:rPr>
        <w:instrText xml:space="preserve"> HYPERLINK "https://www.ahyeji.gov.cn/public/content/25447964" \t "https://59.203.233.131:50081/_blank" </w:instrTex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u w:val="none"/>
          <w:lang w:val="en-US" w:eastAsia="zh-CN" w:bidi="ar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u w:val="none"/>
        </w:rPr>
        <w:t>六安市叶集区人力资源和社会保障局2023年政府信息公开工作年度报告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u w:val="non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1"/>
        <w:jc w:val="both"/>
        <w:textAlignment w:val="auto"/>
        <w:rPr>
          <w:rFonts w:ascii="仿宋_GB2312" w:hAnsi="Times New Roman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1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sz w:val="32"/>
          <w:szCs w:val="32"/>
        </w:rPr>
        <w:t>本报告根据《中华人民共和国政府信息公开条例》（国务院令第</w:t>
      </w:r>
      <w:r>
        <w:rPr>
          <w:rFonts w:hint="default" w:ascii="Times New Roman" w:hAnsi="Times New Roman" w:cs="Times New Roman"/>
          <w:sz w:val="32"/>
          <w:szCs w:val="32"/>
        </w:rPr>
        <w:t>711</w:t>
      </w:r>
      <w:r>
        <w:rPr>
          <w:rFonts w:hint="eastAsia" w:ascii="仿宋_GB2312" w:hAnsi="Times New Roman" w:eastAsia="仿宋_GB2312" w:cs="仿宋_GB2312"/>
          <w:sz w:val="32"/>
          <w:szCs w:val="32"/>
        </w:rPr>
        <w:t>号，以下简称新《条例》）及省市有关文件要求，由区人社局结合统计数据编制而成。报告的全文主要包括总体情况、主动公开政府信息情况、收到和处理政府信息公开申请情况、政府信息公开行政复议、行政诉讼情况、存在的主要问题及改进情况和其他需要报告事项。本报告中使用数据统计期限为</w:t>
      </w:r>
      <w:r>
        <w:rPr>
          <w:rFonts w:hint="default" w:ascii="Times New Roman" w:hAnsi="Times New Roman" w:cs="Times New Roman"/>
          <w:sz w:val="32"/>
          <w:szCs w:val="32"/>
        </w:rPr>
        <w:t>2023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日至</w:t>
      </w:r>
      <w:r>
        <w:rPr>
          <w:rFonts w:hint="default" w:ascii="Times New Roman" w:hAnsi="Times New Roman" w:cs="Times New Roman"/>
          <w:sz w:val="32"/>
          <w:szCs w:val="32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</w:rPr>
        <w:t>31</w:t>
      </w:r>
      <w:r>
        <w:rPr>
          <w:rFonts w:hint="eastAsia" w:ascii="仿宋_GB2312" w:hAnsi="Times New Roman" w:eastAsia="仿宋_GB2312" w:cs="仿宋_GB2312"/>
          <w:sz w:val="32"/>
          <w:szCs w:val="32"/>
        </w:rPr>
        <w:t>日，报告的电子版可在六安市叶集区人民政府信息公开网（</w:t>
      </w:r>
      <w:r>
        <w:rPr>
          <w:rFonts w:hint="default" w:ascii="Times New Roman" w:hAnsi="Times New Roman" w:cs="Times New Roman"/>
          <w:sz w:val="32"/>
          <w:szCs w:val="32"/>
        </w:rPr>
        <w:t>http://www.ahyeji.gov.cn/public/index.html</w:t>
      </w:r>
      <w:r>
        <w:rPr>
          <w:rFonts w:hint="eastAsia" w:ascii="仿宋_GB2312" w:hAnsi="Times New Roman" w:eastAsia="仿宋_GB2312" w:cs="仿宋_GB2312"/>
          <w:sz w:val="32"/>
          <w:szCs w:val="32"/>
        </w:rPr>
        <w:t>）下载。如对本报告有任何疑问，请与六安市叶集区人力资源和社会保障局联系。（地址：六安市叶集区兴业大道与民生路交汇处社保大楼五楼</w:t>
      </w:r>
      <w:r>
        <w:rPr>
          <w:rFonts w:hint="default" w:ascii="Times New Roman" w:hAnsi="Times New Roman" w:cs="Times New Roman"/>
          <w:sz w:val="32"/>
          <w:szCs w:val="32"/>
        </w:rPr>
        <w:t>501</w:t>
      </w:r>
      <w:r>
        <w:rPr>
          <w:rFonts w:hint="eastAsia" w:ascii="仿宋_GB2312" w:hAnsi="Times New Roman" w:eastAsia="仿宋_GB2312" w:cs="仿宋_GB2312"/>
          <w:sz w:val="32"/>
          <w:szCs w:val="32"/>
        </w:rPr>
        <w:t>室；邮编：</w:t>
      </w:r>
      <w:r>
        <w:rPr>
          <w:rFonts w:hint="default" w:ascii="Times New Roman" w:hAnsi="Times New Roman" w:cs="Times New Roman"/>
          <w:sz w:val="32"/>
          <w:szCs w:val="32"/>
        </w:rPr>
        <w:t>237431</w:t>
      </w:r>
      <w:r>
        <w:rPr>
          <w:rFonts w:hint="eastAsia" w:ascii="仿宋_GB2312" w:hAnsi="Times New Roman" w:eastAsia="仿宋_GB2312" w:cs="仿宋_GB2312"/>
          <w:sz w:val="32"/>
          <w:szCs w:val="32"/>
        </w:rPr>
        <w:t>；联系电话：</w:t>
      </w:r>
      <w:r>
        <w:rPr>
          <w:rFonts w:hint="default" w:ascii="Times New Roman" w:hAnsi="Times New Roman" w:cs="Times New Roman"/>
          <w:sz w:val="32"/>
          <w:szCs w:val="32"/>
        </w:rPr>
        <w:t>0564-6496544</w:t>
      </w:r>
      <w:r>
        <w:rPr>
          <w:rFonts w:hint="eastAsia" w:ascii="仿宋_GB2312" w:hAnsi="Times New Roman" w:eastAsia="仿宋_GB2312" w:cs="仿宋_GB2312"/>
          <w:sz w:val="32"/>
          <w:szCs w:val="32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1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z w:val="32"/>
          <w:szCs w:val="32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1"/>
        <w:jc w:val="both"/>
        <w:rPr>
          <w:rFonts w:hint="default" w:ascii="Calibri" w:hAnsi="Calibri" w:cs="Calibri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</w:rPr>
        <w:t>1.</w:t>
      </w:r>
      <w:r>
        <w:rPr>
          <w:rFonts w:ascii="楷体_GB2312" w:hAnsi="Calibri" w:eastAsia="楷体_GB2312" w:cs="楷体_GB2312"/>
          <w:sz w:val="32"/>
          <w:szCs w:val="32"/>
        </w:rPr>
        <w:t>主动公开情况。</w:t>
      </w:r>
      <w:r>
        <w:rPr>
          <w:rFonts w:ascii="仿宋_GB2312" w:hAnsi="Calibri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Calibri" w:eastAsia="仿宋_GB2312" w:cs="仿宋_GB2312"/>
          <w:sz w:val="32"/>
          <w:szCs w:val="32"/>
        </w:rPr>
        <w:t>做好人社领域信息公开。全面及时发布涉企政策举措，</w:t>
      </w:r>
      <w:r>
        <w:rPr>
          <w:rFonts w:hint="eastAsia" w:ascii="仿宋_GB2312" w:hAnsi="Calibri" w:eastAsia="仿宋_GB2312" w:cs="仿宋_GB2312"/>
          <w:color w:val="333333"/>
          <w:sz w:val="32"/>
          <w:szCs w:val="32"/>
          <w:shd w:val="clear" w:fill="FFFFFF"/>
        </w:rPr>
        <w:t>突出公开就业创业、社会保障等领域信息，动态信息按月公开，静态信息分类置顶便于公众查找</w:t>
      </w:r>
      <w:r>
        <w:rPr>
          <w:rFonts w:hint="eastAsia" w:ascii="仿宋_GB2312" w:hAnsi="Calibri" w:eastAsia="仿宋_GB2312" w:cs="仿宋_GB2312"/>
          <w:sz w:val="32"/>
          <w:szCs w:val="32"/>
        </w:rPr>
        <w:t>，</w:t>
      </w:r>
      <w:r>
        <w:rPr>
          <w:rFonts w:hint="default" w:ascii="Times New Roman" w:hAnsi="Times New Roman" w:cs="Times New Roman"/>
          <w:sz w:val="32"/>
          <w:szCs w:val="32"/>
        </w:rPr>
        <w:t>2023</w:t>
      </w:r>
      <w:r>
        <w:rPr>
          <w:rFonts w:hint="eastAsia" w:ascii="仿宋_GB2312" w:hAnsi="Calibri" w:eastAsia="仿宋_GB2312" w:cs="仿宋_GB2312"/>
          <w:sz w:val="32"/>
          <w:szCs w:val="32"/>
        </w:rPr>
        <w:t>年主动公开</w:t>
      </w:r>
      <w:r>
        <w:rPr>
          <w:rFonts w:hint="default" w:ascii="Times New Roman" w:hAnsi="Times New Roman" w:cs="Times New Roman"/>
          <w:sz w:val="32"/>
          <w:szCs w:val="32"/>
        </w:rPr>
        <w:t>834</w:t>
      </w:r>
      <w:r>
        <w:rPr>
          <w:rFonts w:hint="eastAsia" w:ascii="仿宋_GB2312" w:hAnsi="Calibri" w:eastAsia="仿宋_GB2312" w:cs="仿宋_GB2312"/>
          <w:sz w:val="32"/>
          <w:szCs w:val="32"/>
        </w:rPr>
        <w:t>件。</w:t>
      </w:r>
      <w:r>
        <w:rPr>
          <w:rFonts w:hint="eastAsia" w:ascii="仿宋_GB2312" w:hAnsi="Calibri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Calibri" w:eastAsia="仿宋_GB2312" w:cs="仿宋_GB2312"/>
          <w:color w:val="333333"/>
          <w:sz w:val="32"/>
          <w:szCs w:val="32"/>
          <w:shd w:val="clear" w:fill="FFFFFF"/>
        </w:rPr>
        <w:t>明确工作重点任务。</w:t>
      </w:r>
      <w:r>
        <w:rPr>
          <w:rFonts w:hint="eastAsia" w:ascii="仿宋_GB2312" w:hAnsi="Calibri" w:eastAsia="仿宋_GB2312" w:cs="仿宋_GB2312"/>
          <w:sz w:val="32"/>
          <w:szCs w:val="32"/>
        </w:rPr>
        <w:t>我局结合实际工作，将</w:t>
      </w:r>
      <w:r>
        <w:rPr>
          <w:rFonts w:hint="default" w:ascii="Times New Roman" w:hAnsi="Times New Roman" w:cs="Times New Roman"/>
          <w:sz w:val="32"/>
          <w:szCs w:val="32"/>
        </w:rPr>
        <w:t>2023</w:t>
      </w:r>
      <w:r>
        <w:rPr>
          <w:rFonts w:hint="eastAsia" w:ascii="仿宋_GB2312" w:hAnsi="Calibri" w:eastAsia="仿宋_GB2312" w:cs="仿宋_GB2312"/>
          <w:sz w:val="32"/>
          <w:szCs w:val="32"/>
        </w:rPr>
        <w:t>年全局政务公开重点工作进行了任务分解，围绕民营企业办事创业中的堵点难点痛点，及时回应关切和解决问题，并在政务公开网站上进行公开</w:t>
      </w:r>
      <w:r>
        <w:rPr>
          <w:rFonts w:hint="eastAsia" w:ascii="仿宋_GB2312" w:hAnsi="Calibri" w:eastAsia="仿宋_GB2312" w:cs="仿宋_GB2312"/>
          <w:color w:val="333333"/>
          <w:sz w:val="32"/>
          <w:szCs w:val="32"/>
          <w:shd w:val="clear" w:fill="FFFFFF"/>
        </w:rPr>
        <w:t>。</w:t>
      </w:r>
      <w:r>
        <w:rPr>
          <w:rFonts w:hint="eastAsia" w:ascii="仿宋_GB2312" w:hAnsi="Calibri" w:eastAsia="仿宋_GB2312" w:cs="仿宋_GB2312"/>
          <w:b/>
          <w:bCs/>
          <w:color w:val="333333"/>
          <w:sz w:val="32"/>
          <w:szCs w:val="32"/>
          <w:shd w:val="clear" w:fill="FFFFFF"/>
        </w:rPr>
        <w:t>三是</w:t>
      </w:r>
      <w:r>
        <w:rPr>
          <w:rFonts w:hint="eastAsia" w:ascii="仿宋_GB2312" w:hAnsi="Calibri" w:eastAsia="仿宋_GB2312" w:cs="仿宋_GB2312"/>
          <w:color w:val="333333"/>
          <w:sz w:val="32"/>
          <w:szCs w:val="32"/>
          <w:shd w:val="clear" w:fill="FFFFFF"/>
        </w:rPr>
        <w:t>总结基层“两化”经验。积极落实国务院有关部门出台的基层“两化”新增领域标准目录指引的落实，积极对接市人社局基层两化工作的最新测评与指导，指导乡镇街及时更新人社领域有关数据。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1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Times New Roman" w:hAnsi="Times New Roman" w:cs="Times New Roman"/>
          <w:sz w:val="32"/>
          <w:szCs w:val="32"/>
        </w:rPr>
        <w:t>2.</w:t>
      </w:r>
      <w:r>
        <w:rPr>
          <w:rFonts w:hint="eastAsia" w:ascii="楷体_GB2312" w:hAnsi="Calibri" w:eastAsia="楷体_GB2312" w:cs="楷体_GB2312"/>
          <w:sz w:val="32"/>
          <w:szCs w:val="32"/>
        </w:rPr>
        <w:t>依申请公开。</w:t>
      </w:r>
      <w:r>
        <w:rPr>
          <w:rFonts w:hint="eastAsia" w:ascii="仿宋_GB2312" w:hAnsi="Calibri" w:eastAsia="仿宋_GB2312" w:cs="仿宋_GB2312"/>
          <w:color w:val="333333"/>
          <w:sz w:val="32"/>
          <w:szCs w:val="32"/>
          <w:shd w:val="clear" w:fill="FFFFFF"/>
        </w:rPr>
        <w:t>认真落实《中华人民共和国政府信息公开条例》相关规定，按照法定时限和程序，严谨规范、慎重稳妥地做好政府信息公开申请答复工作。</w:t>
      </w:r>
      <w:r>
        <w:rPr>
          <w:rFonts w:hint="default" w:ascii="Times New Roman" w:hAnsi="Times New Roman" w:cs="Times New Roman"/>
          <w:sz w:val="32"/>
          <w:szCs w:val="32"/>
        </w:rPr>
        <w:t>2023</w:t>
      </w:r>
      <w:r>
        <w:rPr>
          <w:rFonts w:hint="eastAsia" w:ascii="仿宋_GB2312" w:hAnsi="Calibri" w:eastAsia="仿宋_GB2312" w:cs="仿宋_GB2312"/>
          <w:sz w:val="32"/>
          <w:szCs w:val="32"/>
        </w:rPr>
        <w:t>年，区人社局共收到依申请公开信件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件，已全部办结。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1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Times New Roman" w:hAnsi="Times New Roman" w:cs="Times New Roman"/>
          <w:sz w:val="32"/>
          <w:szCs w:val="32"/>
        </w:rPr>
        <w:t>3.</w:t>
      </w:r>
      <w:r>
        <w:rPr>
          <w:rFonts w:hint="eastAsia" w:ascii="楷体_GB2312" w:hAnsi="Calibri" w:eastAsia="楷体_GB2312" w:cs="楷体_GB2312"/>
          <w:sz w:val="32"/>
          <w:szCs w:val="32"/>
        </w:rPr>
        <w:t>政府信息管理。</w:t>
      </w:r>
      <w:r>
        <w:rPr>
          <w:rFonts w:hint="eastAsia" w:ascii="仿宋_GB2312" w:hAnsi="Calibri" w:eastAsia="仿宋_GB2312" w:cs="仿宋_GB2312"/>
          <w:color w:val="333333"/>
          <w:sz w:val="32"/>
          <w:szCs w:val="32"/>
          <w:shd w:val="clear" w:fill="FFFFFF"/>
        </w:rPr>
        <w:t>全面做好现行有效规范性文件集中规范公开。今年通过系统的排查，对接区政务公开办，及时更新处置，保证规范性文件立改废中的备案信息、清理结果以及政策文件库中规范性文件数量保持一致；根据市、区政务公开办的工作要求，进行排查，严格执行省级明确的行政规范性文件网络版格式，高质量发布行政规范性文件正式版本，列明文号、成文日期、发布时间、有效性等信息，提供</w:t>
      </w:r>
      <w:r>
        <w:rPr>
          <w:rFonts w:hint="eastAsia" w:ascii="仿宋_GB2312" w:hAnsi="Calibri" w:eastAsia="仿宋_GB2312" w:cs="仿宋_GB2312"/>
          <w:color w:val="333333"/>
          <w:sz w:val="32"/>
          <w:szCs w:val="32"/>
        </w:rPr>
        <w:t>WORD</w:t>
      </w:r>
      <w:r>
        <w:rPr>
          <w:rFonts w:hint="eastAsia" w:ascii="仿宋_GB2312" w:hAnsi="Calibri" w:eastAsia="仿宋_GB2312" w:cs="仿宋_GB2312"/>
          <w:color w:val="333333"/>
          <w:sz w:val="32"/>
          <w:szCs w:val="32"/>
          <w:shd w:val="clear" w:fill="FFFFFF"/>
        </w:rPr>
        <w:t>和</w:t>
      </w:r>
      <w:r>
        <w:rPr>
          <w:rFonts w:hint="eastAsia" w:ascii="仿宋_GB2312" w:hAnsi="Calibri" w:eastAsia="仿宋_GB2312" w:cs="仿宋_GB2312"/>
          <w:color w:val="333333"/>
          <w:sz w:val="32"/>
          <w:szCs w:val="32"/>
        </w:rPr>
        <w:t>PDF</w:t>
      </w:r>
      <w:r>
        <w:rPr>
          <w:rFonts w:hint="eastAsia" w:ascii="仿宋_GB2312" w:hAnsi="Calibri" w:eastAsia="仿宋_GB2312" w:cs="仿宋_GB2312"/>
          <w:color w:val="333333"/>
          <w:sz w:val="32"/>
          <w:szCs w:val="32"/>
          <w:shd w:val="clear" w:fill="FFFFFF"/>
        </w:rPr>
        <w:t>文本下载功能。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1"/>
        <w:jc w:val="both"/>
        <w:rPr>
          <w:sz w:val="24"/>
          <w:szCs w:val="24"/>
        </w:rPr>
      </w:pPr>
      <w:r>
        <w:rPr>
          <w:rFonts w:hint="default" w:ascii="Times New Roman" w:hAnsi="Times New Roman" w:cs="Times New Roman"/>
          <w:sz w:val="32"/>
          <w:szCs w:val="32"/>
        </w:rPr>
        <w:t>4.</w:t>
      </w:r>
      <w:r>
        <w:rPr>
          <w:rFonts w:hint="eastAsia" w:ascii="楷体_GB2312" w:eastAsia="楷体_GB2312" w:cs="楷体_GB2312"/>
          <w:sz w:val="32"/>
          <w:szCs w:val="32"/>
        </w:rPr>
        <w:t>政府信息公开平台建设情况。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高度重视政务信息公开平台建设，积极维护人社相关业务目录信息，不断充实内容，满足人民群众日益增长的需要；拓展政务信息公开渠道，推动政府信息公开平台服务公众能力提升；通过入校园、进企业等形式开展政策宣讲，推广人社各项惠民政策。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</w:rPr>
        <w:t>按照统一部署，对照工作需要，</w:t>
      </w:r>
      <w:r>
        <w:rPr>
          <w:rFonts w:hint="eastAsia" w:ascii="仿宋_GB2312" w:eastAsia="仿宋_GB2312" w:cs="仿宋_GB2312"/>
          <w:color w:val="333333"/>
          <w:sz w:val="31"/>
          <w:szCs w:val="31"/>
          <w:shd w:val="clear" w:fill="FFFFFF"/>
        </w:rPr>
        <w:t>认真做好舆情应对工作，对网民留言、咨询及时答复；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</w:rPr>
        <w:t>通过人社滚动显示屏及时发布最新公开内容。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1"/>
        <w:jc w:val="both"/>
        <w:rPr>
          <w:sz w:val="24"/>
          <w:szCs w:val="24"/>
        </w:rPr>
      </w:pPr>
      <w:r>
        <w:rPr>
          <w:rFonts w:hint="default" w:ascii="Times New Roman" w:hAnsi="Times New Roman" w:cs="Times New Roman"/>
          <w:sz w:val="32"/>
          <w:szCs w:val="32"/>
        </w:rPr>
        <w:t>5.</w:t>
      </w:r>
      <w:r>
        <w:rPr>
          <w:rFonts w:hint="eastAsia" w:ascii="楷体_GB2312" w:eastAsia="楷体_GB2312" w:cs="楷体_GB2312"/>
          <w:sz w:val="32"/>
          <w:szCs w:val="32"/>
        </w:rPr>
        <w:t>监督保障。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</w:rPr>
        <w:t>一是发挥制度作用。将政务公开工作纳入局科以下工作人员年度考核内容，发挥制度作用。二是严把审核提升公开质量。建立由信息员、二级机构负责人、分管领导和保密审查逐级审批机制，确保信息的权威性和可追溯性。安排业务经办人员定期参加培训学习，不断提升业务经办水平，提升政务信息公开质量。三是积极沟通对接抓好整改落实。在就业创业、社会保险领域基层“两化”专题开展逐栏目排查，坚持问题导向，分析查找原因，制定整改措施，对于缺漏的内容，及时补充，对于不规范的信息，及时整改，同时积极主动沟通对接，确保按时按质完成整改任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二、主动公开政府信息情况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9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本年制发件数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95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95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95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三、收到和处理政府信息公开申请情况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849"/>
        <w:gridCol w:w="2637"/>
        <w:gridCol w:w="597"/>
        <w:gridCol w:w="617"/>
        <w:gridCol w:w="617"/>
        <w:gridCol w:w="617"/>
        <w:gridCol w:w="617"/>
        <w:gridCol w:w="617"/>
        <w:gridCol w:w="6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4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华文中宋" w:hAnsi="华文中宋" w:eastAsia="华文中宋" w:cs="华文中宋"/>
                <w:color w:val="00000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484" w:type="dxa"/>
            <w:gridSpan w:val="7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4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自然人</w:t>
            </w:r>
          </w:p>
        </w:tc>
        <w:tc>
          <w:tcPr>
            <w:tcW w:w="32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法人或其他组织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4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企业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机构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社会公益组织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法律服务机构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4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4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三、本年度办理结果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（一）予以公开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（三）不予公开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属于国家秘密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其他法律行政法规禁止公开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危及“三安全一稳定”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保护第三方合法权益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属于三类内部事务信息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6.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属于四类过程性信息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7.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属于行政执法案卷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8.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属于行政查询事项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（四）无法提供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本机关不掌握相关政府信息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没有现成信息需要另行制作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补正后申请内容仍不明确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（五）不予处理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信访举报投诉类申请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重复申请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要求提供公开出版物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无正当理由大量反复申请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要求行政机关确认或重新出具已获取信息</w:t>
            </w:r>
          </w:p>
        </w:tc>
        <w:tc>
          <w:tcPr>
            <w:tcW w:w="632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inset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（六）其他处理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申请人无正当理由逾期不补正、行政机关不再处理其政府信息公开申请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申请人逾期未按收费通知要求缴纳费用、行政机关不再处理其政府信息公开申请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3.</w:t>
            </w: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12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（七）总计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4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四、结转下年度继续办理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四、政府信息公开行政复议、行政诉讼情况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302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行政复议</w:t>
            </w:r>
          </w:p>
        </w:tc>
        <w:tc>
          <w:tcPr>
            <w:tcW w:w="6040" w:type="dxa"/>
            <w:gridSpan w:val="10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审结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总计</w:t>
            </w:r>
          </w:p>
        </w:tc>
        <w:tc>
          <w:tcPr>
            <w:tcW w:w="30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未经复议直接起诉</w:t>
            </w:r>
          </w:p>
        </w:tc>
        <w:tc>
          <w:tcPr>
            <w:tcW w:w="30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维持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纠正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审结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总计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维持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纠正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结果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审结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0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本年度存在的主要问题：一是政务公开队伍建设还需进一步加强。我局政务公开工作人员流动快，需要加强业务培训，进一步经办人员工作能力。二是政务公开的及时性需要进一步增强。政务公开工作需要第一时间将准确信息公示公开，满足人民群众信息的知情权，提升政府工作的透明度，我局在这一块需要进一步提升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上年度存在问题整改情况：针对上年度各股室中心之间沟通协调欠缺，没有对照政务公开指标要求做到及时有效的发布；对政策解读质量还有待进一步加强的问题，我局召开政务公开会议加强各股室中心沟通协调，按照 “应公开、尽公开”原则全面及时准确公开有关事项。突出做好政策解读工作，全面提升解读质量，让企业群众不仅“懂政策”，还能“用政策”。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下一步改进措施：一是进一步加强信息公开工作培训。积极参加市、区政务公开培训，加强工作人员对政务公开的思想认识，提高依法公开政府信息的能力和水平。二是加强日常业务的督办。每月及时对接各中心、股室获取相关更新数据，并对各公开栏目进行检查，及时将内容进行公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1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按照《国务院办公厅关于印发〈政府信息公开信息处理费管理办法〉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_GB2312"/>
          <w:sz w:val="32"/>
          <w:szCs w:val="32"/>
        </w:rPr>
        <w:t>的通知》（国办函〔</w:t>
      </w:r>
      <w:r>
        <w:rPr>
          <w:rFonts w:hint="default" w:ascii="Times New Roman" w:hAnsi="Times New Roman" w:cs="Times New Roman"/>
          <w:sz w:val="32"/>
          <w:szCs w:val="32"/>
        </w:rPr>
        <w:t>2020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default" w:ascii="Times New Roman" w:hAnsi="Times New Roman" w:cs="Times New Roman"/>
          <w:sz w:val="32"/>
          <w:szCs w:val="32"/>
        </w:rPr>
        <w:t>109</w:t>
      </w:r>
      <w:r>
        <w:rPr>
          <w:rFonts w:hint="eastAsia" w:ascii="仿宋_GB2312" w:hAnsi="Times New Roman" w:eastAsia="仿宋_GB2312" w:cs="仿宋_GB2312"/>
          <w:sz w:val="32"/>
          <w:szCs w:val="32"/>
        </w:rPr>
        <w:t>号）规定的按件、按量收费标准，本年度没有产生信息公开处理费。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ZmYzYTM0YTBiMGIyYjBhODZmZDNkOTUyYjE5ZWQifQ=="/>
  </w:docVars>
  <w:rsids>
    <w:rsidRoot w:val="00000000"/>
    <w:rsid w:val="02894526"/>
    <w:rsid w:val="04AA3819"/>
    <w:rsid w:val="067D1612"/>
    <w:rsid w:val="09D51FA3"/>
    <w:rsid w:val="0E5773FB"/>
    <w:rsid w:val="0ED576CD"/>
    <w:rsid w:val="0FFA77DA"/>
    <w:rsid w:val="143B56B2"/>
    <w:rsid w:val="145A6852"/>
    <w:rsid w:val="1E9024A7"/>
    <w:rsid w:val="1FFF6019"/>
    <w:rsid w:val="22AA4CEA"/>
    <w:rsid w:val="27F945C6"/>
    <w:rsid w:val="28CD6CE2"/>
    <w:rsid w:val="2BF71E21"/>
    <w:rsid w:val="329447E5"/>
    <w:rsid w:val="33D85E0D"/>
    <w:rsid w:val="350C39E2"/>
    <w:rsid w:val="39F91828"/>
    <w:rsid w:val="3A1B392B"/>
    <w:rsid w:val="3C293BE9"/>
    <w:rsid w:val="42831FA7"/>
    <w:rsid w:val="48C62285"/>
    <w:rsid w:val="4CD90354"/>
    <w:rsid w:val="4E9A1B22"/>
    <w:rsid w:val="51071E6A"/>
    <w:rsid w:val="53487ED7"/>
    <w:rsid w:val="5424589B"/>
    <w:rsid w:val="55360AFA"/>
    <w:rsid w:val="55FC15F6"/>
    <w:rsid w:val="5612135A"/>
    <w:rsid w:val="56273CEF"/>
    <w:rsid w:val="58BF4E79"/>
    <w:rsid w:val="58F14DC9"/>
    <w:rsid w:val="616B1EF7"/>
    <w:rsid w:val="631C7EEC"/>
    <w:rsid w:val="639B6597"/>
    <w:rsid w:val="66197B61"/>
    <w:rsid w:val="69A457E2"/>
    <w:rsid w:val="69CA3AAF"/>
    <w:rsid w:val="6A531AD7"/>
    <w:rsid w:val="6BD43D9E"/>
    <w:rsid w:val="6BE35553"/>
    <w:rsid w:val="6E516150"/>
    <w:rsid w:val="72117972"/>
    <w:rsid w:val="72A1261F"/>
    <w:rsid w:val="76223ED9"/>
    <w:rsid w:val="778308BC"/>
    <w:rsid w:val="780D2CCF"/>
    <w:rsid w:val="78AF757D"/>
    <w:rsid w:val="7F3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  <w:bCs/>
    </w:rPr>
  </w:style>
  <w:style w:type="character" w:styleId="6">
    <w:name w:val="FollowedHyperlink"/>
    <w:basedOn w:val="4"/>
    <w:autoRedefine/>
    <w:qFormat/>
    <w:uiPriority w:val="0"/>
    <w:rPr>
      <w:color w:val="333333"/>
      <w:u w:val="none"/>
    </w:rPr>
  </w:style>
  <w:style w:type="character" w:styleId="7">
    <w:name w:val="HTML Definition"/>
    <w:basedOn w:val="4"/>
    <w:autoRedefine/>
    <w:qFormat/>
    <w:uiPriority w:val="0"/>
    <w:rPr>
      <w:i/>
      <w:iCs/>
    </w:rPr>
  </w:style>
  <w:style w:type="character" w:styleId="8">
    <w:name w:val="Hyperlink"/>
    <w:basedOn w:val="4"/>
    <w:autoRedefine/>
    <w:qFormat/>
    <w:uiPriority w:val="0"/>
    <w:rPr>
      <w:color w:val="333333"/>
      <w:u w:val="none"/>
    </w:rPr>
  </w:style>
  <w:style w:type="character" w:styleId="9">
    <w:name w:val="HTML Code"/>
    <w:basedOn w:val="4"/>
    <w:autoRedefine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Keyboard"/>
    <w:basedOn w:val="4"/>
    <w:autoRedefine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4"/>
    <w:autoRedefine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2">
    <w:name w:val="codemirror-nonmatchingbracket"/>
    <w:basedOn w:val="4"/>
    <w:autoRedefine/>
    <w:qFormat/>
    <w:uiPriority w:val="0"/>
    <w:rPr>
      <w:color w:val="AA2222"/>
    </w:rPr>
  </w:style>
  <w:style w:type="character" w:customStyle="1" w:styleId="13">
    <w:name w:val="cm-tag"/>
    <w:basedOn w:val="4"/>
    <w:autoRedefine/>
    <w:qFormat/>
    <w:uiPriority w:val="0"/>
    <w:rPr>
      <w:color w:val="117700"/>
    </w:rPr>
  </w:style>
  <w:style w:type="character" w:customStyle="1" w:styleId="14">
    <w:name w:val="button"/>
    <w:basedOn w:val="4"/>
    <w:autoRedefine/>
    <w:qFormat/>
    <w:uiPriority w:val="0"/>
  </w:style>
  <w:style w:type="character" w:customStyle="1" w:styleId="15">
    <w:name w:val="cm-variable-32"/>
    <w:basedOn w:val="4"/>
    <w:autoRedefine/>
    <w:qFormat/>
    <w:uiPriority w:val="0"/>
    <w:rPr>
      <w:color w:val="0000C0"/>
    </w:rPr>
  </w:style>
  <w:style w:type="character" w:customStyle="1" w:styleId="16">
    <w:name w:val="current2"/>
    <w:basedOn w:val="4"/>
    <w:autoRedefine/>
    <w:qFormat/>
    <w:uiPriority w:val="0"/>
    <w:rPr>
      <w:b/>
      <w:bCs/>
      <w:color w:val="AAAAAA"/>
      <w:bdr w:val="single" w:color="E0E0E0" w:sz="6" w:space="0"/>
      <w:shd w:val="clear" w:fill="F0F0F0"/>
    </w:rPr>
  </w:style>
  <w:style w:type="character" w:customStyle="1" w:styleId="17">
    <w:name w:val="sp_caret"/>
    <w:basedOn w:val="4"/>
    <w:autoRedefine/>
    <w:qFormat/>
    <w:uiPriority w:val="0"/>
  </w:style>
  <w:style w:type="character" w:customStyle="1" w:styleId="18">
    <w:name w:val="sp_caret1"/>
    <w:basedOn w:val="4"/>
    <w:autoRedefine/>
    <w:qFormat/>
    <w:uiPriority w:val="0"/>
  </w:style>
  <w:style w:type="character" w:customStyle="1" w:styleId="19">
    <w:name w:val="cm-link"/>
    <w:basedOn w:val="4"/>
    <w:autoRedefine/>
    <w:qFormat/>
    <w:uiPriority w:val="0"/>
    <w:rPr>
      <w:color w:val="221199"/>
    </w:rPr>
  </w:style>
  <w:style w:type="character" w:customStyle="1" w:styleId="20">
    <w:name w:val="cm-error"/>
    <w:basedOn w:val="4"/>
    <w:autoRedefine/>
    <w:qFormat/>
    <w:uiPriority w:val="0"/>
    <w:rPr>
      <w:color w:val="FF0000"/>
    </w:rPr>
  </w:style>
  <w:style w:type="character" w:customStyle="1" w:styleId="21">
    <w:name w:val="disabled"/>
    <w:basedOn w:val="4"/>
    <w:autoRedefine/>
    <w:qFormat/>
    <w:uiPriority w:val="0"/>
    <w:rPr>
      <w:color w:val="CCCCCC"/>
      <w:bdr w:val="single" w:color="F3F3F3" w:sz="6" w:space="0"/>
    </w:rPr>
  </w:style>
  <w:style w:type="character" w:customStyle="1" w:styleId="22">
    <w:name w:val="cm-builtin"/>
    <w:basedOn w:val="4"/>
    <w:autoRedefine/>
    <w:qFormat/>
    <w:uiPriority w:val="0"/>
    <w:rPr>
      <w:color w:val="3300AA"/>
    </w:rPr>
  </w:style>
  <w:style w:type="character" w:customStyle="1" w:styleId="23">
    <w:name w:val="tag_close"/>
    <w:basedOn w:val="4"/>
    <w:autoRedefine/>
    <w:qFormat/>
    <w:uiPriority w:val="0"/>
    <w:rPr>
      <w:rFonts w:ascii="Calibri" w:hAnsi="Calibri" w:eastAsia="Calibri" w:cs="Calibri"/>
      <w:sz w:val="22"/>
      <w:szCs w:val="22"/>
    </w:rPr>
  </w:style>
  <w:style w:type="character" w:customStyle="1" w:styleId="24">
    <w:name w:val="codemirror-selectedtext"/>
    <w:basedOn w:val="4"/>
    <w:autoRedefine/>
    <w:qFormat/>
    <w:uiPriority w:val="0"/>
  </w:style>
  <w:style w:type="character" w:customStyle="1" w:styleId="25">
    <w:name w:val="cm-operator"/>
    <w:basedOn w:val="4"/>
    <w:autoRedefine/>
    <w:qFormat/>
    <w:uiPriority w:val="0"/>
    <w:rPr>
      <w:color w:val="000000"/>
    </w:rPr>
  </w:style>
  <w:style w:type="character" w:customStyle="1" w:styleId="26">
    <w:name w:val="cm-type"/>
    <w:basedOn w:val="4"/>
    <w:autoRedefine/>
    <w:qFormat/>
    <w:uiPriority w:val="0"/>
    <w:rPr>
      <w:color w:val="0000C0"/>
    </w:rPr>
  </w:style>
  <w:style w:type="character" w:customStyle="1" w:styleId="27">
    <w:name w:val="codemirror-matchingbracket"/>
    <w:basedOn w:val="4"/>
    <w:autoRedefine/>
    <w:qFormat/>
    <w:uiPriority w:val="0"/>
    <w:rPr>
      <w:color w:val="00BB00"/>
    </w:rPr>
  </w:style>
  <w:style w:type="character" w:customStyle="1" w:styleId="28">
    <w:name w:val="tmpztreemove_arrow"/>
    <w:basedOn w:val="4"/>
    <w:autoRedefine/>
    <w:qFormat/>
    <w:uiPriority w:val="0"/>
  </w:style>
  <w:style w:type="character" w:customStyle="1" w:styleId="29">
    <w:name w:val="cm-bracket"/>
    <w:basedOn w:val="4"/>
    <w:autoRedefine/>
    <w:qFormat/>
    <w:uiPriority w:val="0"/>
    <w:rPr>
      <w:color w:val="000000"/>
    </w:rPr>
  </w:style>
  <w:style w:type="character" w:customStyle="1" w:styleId="30">
    <w:name w:val="cm-variable-2"/>
    <w:basedOn w:val="4"/>
    <w:autoRedefine/>
    <w:qFormat/>
    <w:uiPriority w:val="0"/>
    <w:rPr>
      <w:color w:val="0000C0"/>
    </w:rPr>
  </w:style>
  <w:style w:type="character" w:customStyle="1" w:styleId="31">
    <w:name w:val="cm-number"/>
    <w:basedOn w:val="4"/>
    <w:autoRedefine/>
    <w:qFormat/>
    <w:uiPriority w:val="0"/>
    <w:rPr>
      <w:color w:val="116644"/>
    </w:rPr>
  </w:style>
  <w:style w:type="character" w:customStyle="1" w:styleId="32">
    <w:name w:val="cm-property"/>
    <w:basedOn w:val="4"/>
    <w:autoRedefine/>
    <w:qFormat/>
    <w:uiPriority w:val="0"/>
    <w:rPr>
      <w:color w:val="000000"/>
    </w:rPr>
  </w:style>
  <w:style w:type="character" w:customStyle="1" w:styleId="33">
    <w:name w:val="cm-variable"/>
    <w:basedOn w:val="4"/>
    <w:autoRedefine/>
    <w:qFormat/>
    <w:uiPriority w:val="0"/>
    <w:rPr>
      <w:color w:val="000000"/>
    </w:rPr>
  </w:style>
  <w:style w:type="character" w:customStyle="1" w:styleId="34">
    <w:name w:val="cm-meta2"/>
    <w:basedOn w:val="4"/>
    <w:autoRedefine/>
    <w:qFormat/>
    <w:uiPriority w:val="0"/>
    <w:rPr>
      <w:color w:val="FF1717"/>
    </w:rPr>
  </w:style>
  <w:style w:type="character" w:customStyle="1" w:styleId="35">
    <w:name w:val="cm-keyword"/>
    <w:basedOn w:val="4"/>
    <w:autoRedefine/>
    <w:qFormat/>
    <w:uiPriority w:val="0"/>
    <w:rPr>
      <w:b/>
      <w:bCs/>
      <w:color w:val="7F0055"/>
    </w:rPr>
  </w:style>
  <w:style w:type="character" w:customStyle="1" w:styleId="36">
    <w:name w:val="cm-atom"/>
    <w:basedOn w:val="4"/>
    <w:autoRedefine/>
    <w:qFormat/>
    <w:uiPriority w:val="0"/>
    <w:rPr>
      <w:color w:val="221199"/>
    </w:rPr>
  </w:style>
  <w:style w:type="character" w:customStyle="1" w:styleId="37">
    <w:name w:val="cm-def"/>
    <w:basedOn w:val="4"/>
    <w:autoRedefine/>
    <w:qFormat/>
    <w:uiPriority w:val="0"/>
    <w:rPr>
      <w:color w:val="0000FF"/>
    </w:rPr>
  </w:style>
  <w:style w:type="character" w:customStyle="1" w:styleId="38">
    <w:name w:val="cm-comment"/>
    <w:basedOn w:val="4"/>
    <w:autoRedefine/>
    <w:qFormat/>
    <w:uiPriority w:val="0"/>
    <w:rPr>
      <w:color w:val="3F7F5F"/>
    </w:rPr>
  </w:style>
  <w:style w:type="character" w:customStyle="1" w:styleId="39">
    <w:name w:val="cm-string"/>
    <w:basedOn w:val="4"/>
    <w:autoRedefine/>
    <w:qFormat/>
    <w:uiPriority w:val="0"/>
    <w:rPr>
      <w:color w:val="2A00FF"/>
    </w:rPr>
  </w:style>
  <w:style w:type="character" w:customStyle="1" w:styleId="40">
    <w:name w:val="cm-string-2"/>
    <w:basedOn w:val="4"/>
    <w:autoRedefine/>
    <w:qFormat/>
    <w:uiPriority w:val="0"/>
    <w:rPr>
      <w:color w:val="FF5500"/>
    </w:rPr>
  </w:style>
  <w:style w:type="character" w:customStyle="1" w:styleId="41">
    <w:name w:val="cm-qualifier"/>
    <w:basedOn w:val="4"/>
    <w:autoRedefine/>
    <w:qFormat/>
    <w:uiPriority w:val="0"/>
    <w:rPr>
      <w:color w:val="555555"/>
    </w:rPr>
  </w:style>
  <w:style w:type="character" w:customStyle="1" w:styleId="42">
    <w:name w:val="cm-attribute"/>
    <w:basedOn w:val="4"/>
    <w:autoRedefine/>
    <w:qFormat/>
    <w:uiPriority w:val="0"/>
    <w:rPr>
      <w:color w:val="0000CC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2021-07-28T09:07:00Z</dcterms:created>
  <dc:creator>Administrator</dc:creator>
  <cp:lastModifiedBy>向阳而生</cp:lastModifiedBy>
  <dcterms:modified xsi:type="dcterms:W3CDTF">2024-03-10T23:52:26Z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D1FB25FB36634DDE81AFB57F0A229BDB</vt:lpwstr>
  </property>
</Properties>
</file>