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bookmarkStart w:id="0" w:name="_GoBack"/>
      <w:r>
        <w:rPr>
          <w:rFonts w:ascii="仿宋_GB2312" w:hAnsi="Times New Roman" w:eastAsia="仿宋_GB2312" w:cs="仿宋_GB2312"/>
          <w:i w:val="0"/>
          <w:caps w:val="0"/>
          <w:color w:val="000000"/>
          <w:spacing w:val="0"/>
          <w:sz w:val="32"/>
          <w:szCs w:val="32"/>
        </w:rPr>
        <w:t>本报告根据《中华人民共和国政府信息公开条例》（国务院令第</w:t>
      </w:r>
      <w:r>
        <w:rPr>
          <w:rFonts w:hint="eastAsia" w:ascii="仿宋_GB2312" w:hAnsi="Times New Roman" w:eastAsia="仿宋_GB2312" w:cs="仿宋_GB2312"/>
          <w:i w:val="0"/>
          <w:caps w:val="0"/>
          <w:color w:val="000000"/>
          <w:spacing w:val="0"/>
          <w:sz w:val="32"/>
          <w:szCs w:val="32"/>
          <w:shd w:val="clear" w:fill="FFFFFF"/>
        </w:rPr>
        <w:t>711号，以下简称新《条例》）及省市有关文件要求，由六安市叶集区生态环境分局结合统计数据编制而成。报告的全文主要包括总体情况、主动公开政府信息情况、收到和处理政府信息公开申请情况、政府信息公开行政复议、行政诉讼情况、存在的主要问题及改进情况和其他需要报告事项。本报告中使用数据统计期限为2023年1月1日至12月31日，报告的电子版可在六安市叶集区人民政府信息公开网（https://www.ahyeji.gov.cn/public/index.html）下载。如对本报告有任何疑问，请与叶集生态环境分局政府信息公开办公室联系（地址：叶集区兴叶大道与民生路交叉口文化广播电视中心6楼，邮编：237431；办公电话：0564—6493037）。</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黑体" w:hAnsi="宋体" w:eastAsia="黑体" w:cs="黑体"/>
          <w:sz w:val="32"/>
          <w:szCs w:val="32"/>
        </w:rPr>
        <w:t>一、总体情况</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shd w:val="clear" w:fill="FFFFFF"/>
        </w:rPr>
        <w:t>2023年，我局认真贯彻落实《中华人民共和国政府信息公开条例》和区委、区政府政务信息公开工作要求，认真部署，强化措施，狠抓落实，较好地完成了政府年度信息公开工作。</w:t>
      </w:r>
    </w:p>
    <w:p>
      <w:pPr>
        <w:ind w:firstLine="640" w:firstLineChars="200"/>
        <w:rPr>
          <w:rFonts w:hint="default" w:ascii="Times New Roman" w:hAnsi="Times New Roman" w:cs="Times New Roman"/>
          <w:sz w:val="21"/>
          <w:szCs w:val="21"/>
        </w:rPr>
      </w:pPr>
      <w:r>
        <w:rPr>
          <w:rFonts w:hint="eastAsia" w:ascii="仿宋_GB2312" w:hAnsi="Times New Roman" w:eastAsia="仿宋_GB2312" w:cs="仿宋_GB2312"/>
          <w:sz w:val="32"/>
          <w:szCs w:val="32"/>
        </w:rPr>
        <w:t>（一）主动公开情况。</w:t>
      </w:r>
      <w:r>
        <w:rPr>
          <w:rFonts w:ascii="仿宋_GB2312" w:hAnsi="宋体" w:eastAsia="仿宋_GB2312" w:cs="仿宋_GB2312"/>
          <w:i w:val="0"/>
          <w:caps w:val="0"/>
          <w:color w:val="000000"/>
          <w:spacing w:val="0"/>
          <w:sz w:val="32"/>
          <w:szCs w:val="32"/>
          <w:shd w:val="clear" w:fill="FFFFFF"/>
        </w:rPr>
        <w:t>扎实做好污染防治</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生态环境</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信息公开</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满足人民群众对最关心、利益最直接的政府信息需求。加强“双随机一公开”等行政执法信息公示，及时发布最新权责清单调整权力目录，做好行政权力运行结果公开；</w:t>
      </w:r>
      <w:r>
        <w:rPr>
          <w:rFonts w:hint="eastAsia" w:ascii="仿宋_GB2312" w:hAnsi="Times New Roman" w:eastAsia="仿宋_GB2312" w:cs="仿宋_GB2312"/>
          <w:i w:val="0"/>
          <w:caps w:val="0"/>
          <w:color w:val="000000"/>
          <w:spacing w:val="0"/>
          <w:sz w:val="32"/>
          <w:szCs w:val="32"/>
          <w:shd w:val="clear" w:fill="FFFFFF"/>
        </w:rPr>
        <w:t>有序推进省级生态文明建设示范区创建，成功创建省级生态文明建设示范区；聚力推动突出生态环境问题整改；深入开展绿色低碳发展行动，多措并举推进全区生产生活方式绿色转型。2023年主动公开政府信息641条，两化领域公开信息236条；举办新闻发布会2次。</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shd w:val="clear" w:fill="FFFFFF"/>
        </w:rPr>
        <w:t>（二）依申请公开。根据《中华人民共和国政府信息公开条例》，主动公开“依申请公开</w:t>
      </w:r>
      <w:r>
        <w:rPr>
          <w:rFonts w:hint="eastAsia" w:ascii="宋体" w:hAnsi="宋体" w:eastAsia="宋体" w:cs="宋体"/>
          <w:i w:val="0"/>
          <w:caps w:val="0"/>
          <w:color w:val="000000"/>
          <w:spacing w:val="0"/>
          <w:sz w:val="32"/>
          <w:szCs w:val="32"/>
          <w:shd w:val="clear" w:fill="FFFFFF"/>
        </w:rPr>
        <w:t>”</w:t>
      </w:r>
      <w:r>
        <w:rPr>
          <w:rFonts w:hint="eastAsia" w:ascii="仿宋_GB2312" w:hAnsi="Times New Roman" w:eastAsia="仿宋_GB2312" w:cs="仿宋_GB2312"/>
          <w:i w:val="0"/>
          <w:caps w:val="0"/>
          <w:color w:val="000000"/>
          <w:spacing w:val="0"/>
          <w:sz w:val="32"/>
          <w:szCs w:val="32"/>
          <w:shd w:val="clear" w:fill="FFFFFF"/>
        </w:rPr>
        <w:t>的受理机构、受理程序、申请条件及流程说明，公布申请联系咨询电话，畅通申请渠道，依法保障申请人合理信息公开需求。2023年我</w:t>
      </w:r>
      <w:r>
        <w:rPr>
          <w:rFonts w:hint="eastAsia" w:ascii="仿宋_GB2312" w:hAnsi="Times New Roman" w:eastAsia="仿宋_GB2312" w:cs="仿宋_GB2312"/>
          <w:sz w:val="32"/>
          <w:szCs w:val="32"/>
        </w:rPr>
        <w:t>局未收到依申请公开办理。</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shd w:val="clear" w:fill="FFFFFF"/>
        </w:rPr>
        <w:t>（三）政</w:t>
      </w:r>
      <w:r>
        <w:rPr>
          <w:rFonts w:hint="eastAsia" w:ascii="仿宋_GB2312" w:hAnsi="Times New Roman" w:eastAsia="仿宋_GB2312" w:cs="仿宋_GB2312"/>
          <w:sz w:val="32"/>
          <w:szCs w:val="32"/>
        </w:rPr>
        <w:t>府信息管理。</w:t>
      </w:r>
      <w:r>
        <w:rPr>
          <w:rFonts w:hint="eastAsia" w:ascii="仿宋_GB2312" w:hAnsi="Times New Roman" w:eastAsia="仿宋_GB2312" w:cs="仿宋_GB2312"/>
          <w:i w:val="0"/>
          <w:caps w:val="0"/>
          <w:color w:val="000000"/>
          <w:spacing w:val="0"/>
          <w:sz w:val="32"/>
          <w:szCs w:val="32"/>
          <w:shd w:val="clear" w:fill="FFFFFF"/>
        </w:rPr>
        <w:t>2023年我局加强信息公开网站上公开信息的维护管理，一是规范政府信息公开工作，严格落实政府信息公开审核制度和保密制度；二是按要求规范发布政府信息公开指南、政府信息公开工作年报等内容，确保“应公开、尽公开</w:t>
      </w:r>
      <w:r>
        <w:rPr>
          <w:rFonts w:hint="eastAsia" w:ascii="宋体" w:hAnsi="宋体" w:eastAsia="宋体" w:cs="宋体"/>
          <w:i w:val="0"/>
          <w:caps w:val="0"/>
          <w:color w:val="000000"/>
          <w:spacing w:val="0"/>
          <w:sz w:val="32"/>
          <w:szCs w:val="32"/>
          <w:shd w:val="clear" w:fill="FFFFFF"/>
        </w:rPr>
        <w:t>”</w:t>
      </w:r>
      <w:r>
        <w:rPr>
          <w:rFonts w:hint="eastAsia" w:ascii="仿宋_GB2312" w:hAnsi="Times New Roman" w:eastAsia="仿宋_GB2312" w:cs="仿宋_GB2312"/>
          <w:i w:val="0"/>
          <w:caps w:val="0"/>
          <w:color w:val="000000"/>
          <w:spacing w:val="0"/>
          <w:sz w:val="32"/>
          <w:szCs w:val="32"/>
          <w:shd w:val="clear" w:fill="FFFFFF"/>
        </w:rPr>
        <w:t>；对照任务分工表，制定完善工作方案，明确目标任务，切实做好政务公开工作。三是及时排查整改错敏词，确保政府信息公开工作用字规范，用词准确。四是按季度开展规范性文件备案、清理工作，全面梳理规范性文件，对我局公开的规范性文件开展全面排查，确保格式完整规范。</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（四）政府信息公开平台建设情况。</w:t>
      </w:r>
      <w:r>
        <w:rPr>
          <w:rFonts w:hint="eastAsia" w:ascii="仿宋_GB2312" w:hAnsi="Times New Roman" w:eastAsia="仿宋_GB2312" w:cs="仿宋_GB2312"/>
          <w:i w:val="0"/>
          <w:caps w:val="0"/>
          <w:color w:val="000000"/>
          <w:spacing w:val="0"/>
          <w:sz w:val="32"/>
          <w:szCs w:val="32"/>
          <w:shd w:val="clear" w:fill="FFFFFF"/>
        </w:rPr>
        <w:t>叶集生态环境分局政府信息公开主要通过区政府信息公开平台进行公开，2023年按照上级要求进一步优化栏目设置，有效提升信息公开平台发布功能。</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（五）监督保障。</w:t>
      </w:r>
      <w:r>
        <w:rPr>
          <w:rFonts w:hint="eastAsia" w:ascii="仿宋_GB2312" w:hAnsi="Times New Roman" w:eastAsia="仿宋_GB2312" w:cs="仿宋_GB2312"/>
          <w:i w:val="0"/>
          <w:caps w:val="0"/>
          <w:color w:val="000000"/>
          <w:spacing w:val="0"/>
          <w:sz w:val="32"/>
          <w:szCs w:val="32"/>
          <w:shd w:val="clear" w:fill="FFFFFF"/>
        </w:rPr>
        <w:t>一是加强政府信息公开队伍建设。通过参加上级组织的业务培训或主动学习其他单位的经验做法等多种途径，加强相关人员素质的培养和锻炼，提高工作人员的能力水平。二是加强监督，进一步增强主动公开，并鼓励干部职工积极参与政府公开信息发布的监督，更好地服务政府、社会和群众。</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二、主动公开政府信息情况</w:t>
      </w:r>
    </w:p>
    <w:tbl>
      <w:tblPr>
        <w:tblW w:w="8958" w:type="dxa"/>
        <w:jc w:val="center"/>
        <w:tblInd w:w="-269" w:type="dxa"/>
        <w:shd w:val="clear"/>
        <w:tblLayout w:type="fixed"/>
        <w:tblCellMar>
          <w:top w:w="15" w:type="dxa"/>
          <w:left w:w="15" w:type="dxa"/>
          <w:bottom w:w="15" w:type="dxa"/>
          <w:right w:w="15" w:type="dxa"/>
        </w:tblCellMar>
      </w:tblPr>
      <w:tblGrid>
        <w:gridCol w:w="2240"/>
        <w:gridCol w:w="2240"/>
        <w:gridCol w:w="2239"/>
        <w:gridCol w:w="2239"/>
      </w:tblGrid>
      <w:tr>
        <w:tblPrEx>
          <w:shd w:val="clear"/>
          <w:tblLayout w:type="fixed"/>
          <w:tblCellMar>
            <w:top w:w="15" w:type="dxa"/>
            <w:left w:w="15" w:type="dxa"/>
            <w:bottom w:w="15" w:type="dxa"/>
            <w:right w:w="15" w:type="dxa"/>
          </w:tblCellMar>
        </w:tblPrEx>
        <w:trPr>
          <w:cantSplit/>
          <w:trHeight w:val="567" w:hRule="atLeast"/>
          <w:jc w:val="center"/>
        </w:trPr>
        <w:tc>
          <w:tcPr>
            <w:tcW w:w="8958"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第二十条第（一）项</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2240"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本年制发件数</w:t>
            </w:r>
          </w:p>
        </w:tc>
        <w:tc>
          <w:tcPr>
            <w:tcW w:w="223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本年废止件数</w:t>
            </w:r>
          </w:p>
        </w:tc>
        <w:tc>
          <w:tcPr>
            <w:tcW w:w="223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现行有效件数</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规章</w:t>
            </w:r>
          </w:p>
        </w:tc>
        <w:tc>
          <w:tcPr>
            <w:tcW w:w="2240"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行政规范性文件</w:t>
            </w:r>
          </w:p>
        </w:tc>
        <w:tc>
          <w:tcPr>
            <w:tcW w:w="2240"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cantSplit/>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第二十条第（五）项</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本年处理决定数量</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行政许可</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51</w:t>
            </w:r>
          </w:p>
        </w:tc>
      </w:tr>
      <w:tr>
        <w:tblPrEx>
          <w:tblLayout w:type="fixed"/>
          <w:tblCellMar>
            <w:top w:w="15" w:type="dxa"/>
            <w:left w:w="15" w:type="dxa"/>
            <w:bottom w:w="15" w:type="dxa"/>
            <w:right w:w="15" w:type="dxa"/>
          </w:tblCellMar>
        </w:tblPrEx>
        <w:trPr>
          <w:cantSplit/>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第二十条第（六）项</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6718"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本年处理决定数量</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行政处罚</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3</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行政强制</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0</w:t>
            </w:r>
          </w:p>
        </w:tc>
      </w:tr>
      <w:tr>
        <w:tblPrEx>
          <w:tblLayout w:type="fixed"/>
          <w:tblCellMar>
            <w:top w:w="15" w:type="dxa"/>
            <w:left w:w="15" w:type="dxa"/>
            <w:bottom w:w="15" w:type="dxa"/>
            <w:right w:w="15" w:type="dxa"/>
          </w:tblCellMar>
        </w:tblPrEx>
        <w:trPr>
          <w:cantSplit/>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第二十条第（八）项</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6718"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本年收费金额（单位：万元）</w:t>
            </w:r>
          </w:p>
        </w:tc>
      </w:tr>
      <w:tr>
        <w:tblPrEx>
          <w:tblLayout w:type="fixed"/>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行政事业性收费</w:t>
            </w:r>
          </w:p>
        </w:tc>
        <w:tc>
          <w:tcPr>
            <w:tcW w:w="6718"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4"/>
                <w:szCs w:val="24"/>
              </w:rPr>
              <w:t>0</w:t>
            </w:r>
          </w:p>
        </w:tc>
      </w:tr>
    </w:tbl>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三、收到和处理政府信息公开申请情况</w:t>
      </w:r>
    </w:p>
    <w:tbl>
      <w:tblPr>
        <w:tblW w:w="8958" w:type="dxa"/>
        <w:jc w:val="center"/>
        <w:tblInd w:w="-21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04"/>
        <w:gridCol w:w="862"/>
        <w:gridCol w:w="2908"/>
        <w:gridCol w:w="632"/>
        <w:gridCol w:w="642"/>
        <w:gridCol w:w="642"/>
        <w:gridCol w:w="642"/>
        <w:gridCol w:w="642"/>
        <w:gridCol w:w="642"/>
        <w:gridCol w:w="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4474" w:type="dxa"/>
            <w:gridSpan w:val="3"/>
            <w:vMerge w:val="restart"/>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21"/>
                <w:szCs w:val="21"/>
              </w:rPr>
              <w:t>（本列数据的勾稽关系为：第一项加第二项之和，等于第三项加第四项之和）</w:t>
            </w:r>
          </w:p>
        </w:tc>
        <w:tc>
          <w:tcPr>
            <w:tcW w:w="4484" w:type="dxa"/>
            <w:gridSpan w:val="7"/>
            <w:tcBorders>
              <w:top w:val="single" w:color="auto" w:sz="12" w:space="0"/>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华文中宋" w:hAnsi="华文中宋" w:eastAsia="华文中宋" w:cs="华文中宋"/>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32" w:type="dxa"/>
            <w:vMerge w:val="restart"/>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自然人</w:t>
            </w:r>
          </w:p>
        </w:tc>
        <w:tc>
          <w:tcPr>
            <w:tcW w:w="3210"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法人或其他组织</w:t>
            </w:r>
          </w:p>
        </w:tc>
        <w:tc>
          <w:tcPr>
            <w:tcW w:w="642" w:type="dxa"/>
            <w:vMerge w:val="restart"/>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32" w:type="dxa"/>
            <w:vMerge w:val="continue"/>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商业</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企业</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科研</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社会公益组织</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法律服务机构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tc>
        <w:tc>
          <w:tcPr>
            <w:tcW w:w="642" w:type="dxa"/>
            <w:vMerge w:val="continue"/>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一、本年新收政府信息公开申请数量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二、上年结转政府信息公开申请数量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restart"/>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三、本年度办理结果</w:t>
            </w: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（一）予以公开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（二）部分公开（区分处理的，只计这一情形，不计其他情形）</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（三）不予公开</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1.属于国家秘密</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2.其他法律行政法规禁止公开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3.危及“三安全一稳定”</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4.保护第三方合法权益</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5.属于三类内部事务信息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6.属于四类过程性信息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7.属于行政执法案卷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8.属于行政查询事项</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（四）无法提供</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1.本机关不掌握相关政府信息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2.没有现成信息需要另行制作</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3.补正后申请内容仍不明确</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（五）不予处理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1.信访举报投诉类申请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2.重复申请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3.要求提供公开出版物</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4.无正当理由大量反复申请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9" w:hRule="atLeast"/>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color w:val="000000"/>
                <w:sz w:val="21"/>
                <w:szCs w:val="21"/>
              </w:rPr>
              <w:t>5.要求行政机关确认或重新出具已获取信息</w:t>
            </w:r>
          </w:p>
        </w:tc>
        <w:tc>
          <w:tcPr>
            <w:tcW w:w="63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single" w:color="auto" w:sz="6" w:space="0"/>
              <w:left w:val="single" w:color="auto" w:sz="6" w:space="0"/>
              <w:bottom w:val="outset"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（六）其他处理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color w:val="000000"/>
                <w:sz w:val="21"/>
                <w:szCs w:val="21"/>
              </w:rPr>
              <w:t>1.申请人无正当理由逾期不补正、行政机关不再处理其政府信息公开申请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华文中宋" w:hAnsi="华文中宋" w:eastAsia="华文中宋" w:cs="华文中宋"/>
                <w:color w:val="000000"/>
                <w:sz w:val="21"/>
                <w:szCs w:val="21"/>
              </w:rPr>
              <w:t>2.申请人逾期未按收费通知要求缴纳费用、行政机关不再处理其政府信息公开申请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3.其他</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（七）总计</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四、结转下年度继续办理</w:t>
            </w:r>
          </w:p>
        </w:tc>
        <w:tc>
          <w:tcPr>
            <w:tcW w:w="63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42" w:type="dxa"/>
            <w:tcBorders>
              <w:top w:val="nil"/>
              <w:left w:val="nil"/>
              <w:bottom w:val="single" w:color="auto" w:sz="12" w:space="0"/>
              <w:right w:val="single" w:color="auto" w:sz="12"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bl>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四、政府信息公开行政复议、行政诉讼情况</w:t>
      </w:r>
    </w:p>
    <w:tbl>
      <w:tblPr>
        <w:tblW w:w="9060" w:type="dxa"/>
        <w:jc w:val="center"/>
        <w:tblInd w:w="-26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5" w:hRule="atLeast"/>
          <w:jc w:val="center"/>
        </w:trPr>
        <w:tc>
          <w:tcPr>
            <w:tcW w:w="3020" w:type="dxa"/>
            <w:gridSpan w:val="5"/>
            <w:tcBorders>
              <w:top w:val="single" w:color="auto" w:sz="12" w:space="0"/>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行政复议</w:t>
            </w:r>
          </w:p>
        </w:tc>
        <w:tc>
          <w:tcPr>
            <w:tcW w:w="6040" w:type="dxa"/>
            <w:gridSpan w:val="10"/>
            <w:tcBorders>
              <w:top w:val="single" w:color="auto" w:sz="12" w:space="0"/>
              <w:left w:val="nil"/>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25" w:hRule="atLeast"/>
          <w:jc w:val="center"/>
        </w:trPr>
        <w:tc>
          <w:tcPr>
            <w:tcW w:w="604" w:type="dxa"/>
            <w:vMerge w:val="restart"/>
            <w:tcBorders>
              <w:top w:val="nil"/>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结果维持</w:t>
            </w:r>
          </w:p>
        </w:tc>
        <w:tc>
          <w:tcPr>
            <w:tcW w:w="604"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302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未经复议直接起诉</w:t>
            </w:r>
          </w:p>
        </w:tc>
        <w:tc>
          <w:tcPr>
            <w:tcW w:w="3020" w:type="dxa"/>
            <w:gridSpan w:val="5"/>
            <w:tcBorders>
              <w:top w:val="single" w:color="auto" w:sz="6" w:space="0"/>
              <w:left w:val="nil"/>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25" w:hRule="atLeast"/>
          <w:jc w:val="center"/>
        </w:trPr>
        <w:tc>
          <w:tcPr>
            <w:tcW w:w="604" w:type="dxa"/>
            <w:vMerge w:val="continue"/>
            <w:tcBorders>
              <w:top w:val="nil"/>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维持</w:t>
            </w:r>
          </w:p>
        </w:tc>
        <w:tc>
          <w:tcPr>
            <w:tcW w:w="604"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维持</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tcBorders>
              <w:top w:val="single" w:color="auto" w:sz="6" w:space="0"/>
              <w:left w:val="nil"/>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25" w:hRule="atLeast"/>
          <w:jc w:val="center"/>
        </w:trPr>
        <w:tc>
          <w:tcPr>
            <w:tcW w:w="604" w:type="dxa"/>
            <w:tcBorders>
              <w:top w:val="nil"/>
              <w:left w:val="single" w:color="auto" w:sz="12"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1</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0</w:t>
            </w:r>
          </w:p>
        </w:tc>
        <w:tc>
          <w:tcPr>
            <w:tcW w:w="604" w:type="dxa"/>
            <w:tcBorders>
              <w:top w:val="nil"/>
              <w:left w:val="nil"/>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bl>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五、存在的主要问题及改进情况</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shd w:val="clear" w:fill="FFFFFF"/>
        </w:rPr>
        <w:t>2022年问题整改情况：加大政务信息公开工作宣传力度，全局合力共同做好政务信息公开工作；及时协调各股室分工合作，及时公布信息；丰富主动公开信息的载体和形式，及时将相关内容向社会各界公布。</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shd w:val="clear" w:fill="FFFFFF"/>
        </w:rPr>
        <w:t>2023年，我局在政府信息公开工作方面取得了一些成效，但还存在一些问题与不足，主要有以下几点：一是政策解读有待强化，政策解读工作还需进一步提高，运用图片、图表、图解、视频等可视化方式解读政策有待增强；二是对政府信息公开业务知识有待加进一步学习提升。</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shd w:val="clear" w:fill="FFFFFF"/>
        </w:rPr>
        <w:t>下一步我分局将严格按照政府信息公开和政务公开的有关要求，一是充实信息来源，及时汇总收集信息，准确高效公开。二是强化政策解读工作，提高政策解读创新方式方法，运用图表图解等方法，多角度、全方位阐释政策，提升解读的权威性、针对性和有效性，真正让群众看得懂、听得明白。三是进一步夯实责任。加强政务公开工作人员培训力度，提高对政务公开工作的重视程度，保证政府信息公开工作运行正常，政府信息公开咨询、申请及答复工作顺利开展。</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六、其他需要报告的事项</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sz w:val="32"/>
          <w:szCs w:val="32"/>
        </w:rPr>
        <w:t>按照《国务院办公厅关于印发〈政府信息公开信息处理费管理办法〉 的通知》（国办函〔2020〕</w:t>
      </w:r>
      <w:r>
        <w:rPr>
          <w:rFonts w:hint="default" w:ascii="Times New Roman" w:hAnsi="Times New Roman" w:eastAsia="仿宋_GB2312" w:cs="Times New Roman"/>
          <w:sz w:val="32"/>
          <w:szCs w:val="32"/>
        </w:rPr>
        <w:t>109</w:t>
      </w:r>
      <w:r>
        <w:rPr>
          <w:rFonts w:hint="eastAsia" w:ascii="仿宋_GB2312" w:hAnsi="Times New Roman" w:eastAsia="仿宋_GB2312" w:cs="仿宋_GB2312"/>
          <w:sz w:val="32"/>
          <w:szCs w:val="32"/>
        </w:rPr>
        <w:t>号）规定的按件、按量收费标准，本年度没有产生信息公开处理费。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414AE"/>
    <w:rsid w:val="4CA41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2024-03-08T09:07:00Z</dcterms:created>
  <dc:creator>区生态环境分局收文员</dc:creator>
  <cp:lastModifiedBy>区生态环境分局收文员</cp:lastModifiedBy>
  <dcterms:modified xsi:type="dcterms:W3CDTF">2024-03-08T09:11:32Z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