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六安市叶集区市场监督管理局2021年</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jc w:val="left"/>
        <w:textAlignment w:val="auto"/>
      </w:pPr>
      <w:r>
        <w:rPr>
          <w:rFonts w:ascii="仿宋" w:hAnsi="仿宋" w:eastAsia="仿宋" w:cs="仿宋"/>
          <w:kern w:val="0"/>
          <w:sz w:val="32"/>
          <w:szCs w:val="32"/>
          <w:lang w:val="en-US" w:eastAsia="zh-CN" w:bidi="ar"/>
        </w:rPr>
        <w:t>    依据《六安市叶集区政务公开工作领导组办公室关于做好政府信息公开年度报告编制和发布工作的通知》（叶政办〔</w:t>
      </w:r>
      <w:r>
        <w:rPr>
          <w:rFonts w:hint="default" w:ascii="Times New Roman" w:hAnsi="Times New Roman" w:eastAsia="仿宋" w:cs="Times New Roman"/>
          <w:kern w:val="0"/>
          <w:sz w:val="32"/>
          <w:szCs w:val="32"/>
          <w:lang w:val="en-US" w:eastAsia="zh-CN" w:bidi="ar"/>
        </w:rPr>
        <w:t>2021</w:t>
      </w:r>
      <w:r>
        <w:rPr>
          <w:rFonts w:hint="eastAsia" w:ascii="仿宋" w:hAnsi="仿宋" w:eastAsia="仿宋" w:cs="仿宋"/>
          <w:kern w:val="0"/>
          <w:sz w:val="32"/>
          <w:szCs w:val="32"/>
          <w:lang w:val="en-US" w:eastAsia="zh-CN" w:bidi="ar"/>
        </w:rPr>
        <w:t>〕</w:t>
      </w:r>
      <w:r>
        <w:rPr>
          <w:rFonts w:hint="default" w:ascii="Times New Roman" w:hAnsi="Times New Roman" w:eastAsia="仿宋" w:cs="Times New Roman"/>
          <w:kern w:val="0"/>
          <w:sz w:val="32"/>
          <w:szCs w:val="32"/>
          <w:lang w:val="en-US" w:eastAsia="zh-CN" w:bidi="ar"/>
        </w:rPr>
        <w:t>12</w:t>
      </w:r>
      <w:r>
        <w:rPr>
          <w:rFonts w:hint="eastAsia" w:ascii="仿宋" w:hAnsi="仿宋" w:eastAsia="仿宋" w:cs="仿宋"/>
          <w:kern w:val="0"/>
          <w:sz w:val="32"/>
          <w:szCs w:val="32"/>
          <w:lang w:val="en-US" w:eastAsia="zh-CN" w:bidi="ar"/>
        </w:rPr>
        <w:t>号），现编制</w:t>
      </w:r>
      <w:r>
        <w:rPr>
          <w:rFonts w:hint="default" w:ascii="Times New Roman" w:hAnsi="Times New Roman" w:eastAsia="仿宋" w:cs="Times New Roman"/>
          <w:kern w:val="0"/>
          <w:sz w:val="32"/>
          <w:szCs w:val="32"/>
          <w:lang w:val="en-US" w:eastAsia="zh-CN" w:bidi="ar"/>
        </w:rPr>
        <w:t>2021</w:t>
      </w:r>
      <w:r>
        <w:rPr>
          <w:rFonts w:hint="eastAsia" w:ascii="仿宋" w:hAnsi="仿宋" w:eastAsia="仿宋" w:cs="仿宋"/>
          <w:kern w:val="0"/>
          <w:sz w:val="32"/>
          <w:szCs w:val="32"/>
          <w:lang w:val="en-US" w:eastAsia="zh-CN" w:bidi="ar"/>
        </w:rPr>
        <w:t>年政府信息公开年度报告。全文主要包括总体情况、主动公开政府信息情况、收到和处理政府信息公开申请情况、政府信息公开行政复议、行政诉讼情况、存在的主要问题及改进情况和其他需要报告的事项等。本年度报告使用的数据统计期</w:t>
      </w:r>
      <w:bookmarkStart w:id="0" w:name="_GoBack"/>
      <w:bookmarkEnd w:id="0"/>
      <w:r>
        <w:rPr>
          <w:rFonts w:hint="eastAsia" w:ascii="仿宋" w:hAnsi="仿宋" w:eastAsia="仿宋" w:cs="仿宋"/>
          <w:kern w:val="0"/>
          <w:sz w:val="32"/>
          <w:szCs w:val="32"/>
          <w:lang w:val="en-US" w:eastAsia="zh-CN" w:bidi="ar"/>
        </w:rPr>
        <w:t>限为</w:t>
      </w:r>
      <w:r>
        <w:rPr>
          <w:rFonts w:hint="default" w:ascii="Times New Roman" w:hAnsi="Times New Roman" w:eastAsia="仿宋" w:cs="Times New Roman"/>
          <w:kern w:val="0"/>
          <w:sz w:val="32"/>
          <w:szCs w:val="32"/>
          <w:lang w:val="en-US" w:eastAsia="zh-CN" w:bidi="ar"/>
        </w:rPr>
        <w:t>2021</w:t>
      </w:r>
      <w:r>
        <w:rPr>
          <w:rFonts w:hint="eastAsia" w:ascii="仿宋" w:hAnsi="仿宋" w:eastAsia="仿宋" w:cs="仿宋"/>
          <w:kern w:val="0"/>
          <w:sz w:val="32"/>
          <w:szCs w:val="32"/>
          <w:lang w:val="en-US" w:eastAsia="zh-CN" w:bidi="ar"/>
        </w:rPr>
        <w:t>年</w:t>
      </w:r>
      <w:r>
        <w:rPr>
          <w:rFonts w:hint="default" w:ascii="Times New Roman" w:hAnsi="Times New Roman" w:eastAsia="仿宋" w:cs="Times New Roman"/>
          <w:kern w:val="0"/>
          <w:sz w:val="32"/>
          <w:szCs w:val="32"/>
          <w:lang w:val="en-US" w:eastAsia="zh-CN" w:bidi="ar"/>
        </w:rPr>
        <w:t>1</w:t>
      </w:r>
      <w:r>
        <w:rPr>
          <w:rFonts w:hint="eastAsia" w:ascii="仿宋" w:hAnsi="仿宋" w:eastAsia="仿宋" w:cs="仿宋"/>
          <w:kern w:val="0"/>
          <w:sz w:val="32"/>
          <w:szCs w:val="32"/>
          <w:lang w:val="en-US" w:eastAsia="zh-CN" w:bidi="ar"/>
        </w:rPr>
        <w:t>月</w:t>
      </w:r>
      <w:r>
        <w:rPr>
          <w:rFonts w:hint="default" w:ascii="Times New Roman" w:hAnsi="Times New Roman" w:eastAsia="仿宋" w:cs="Times New Roman"/>
          <w:kern w:val="0"/>
          <w:sz w:val="32"/>
          <w:szCs w:val="32"/>
          <w:lang w:val="en-US" w:eastAsia="zh-CN" w:bidi="ar"/>
        </w:rPr>
        <w:t>1</w:t>
      </w:r>
      <w:r>
        <w:rPr>
          <w:rFonts w:hint="eastAsia" w:ascii="仿宋" w:hAnsi="仿宋" w:eastAsia="仿宋" w:cs="仿宋"/>
          <w:kern w:val="0"/>
          <w:sz w:val="32"/>
          <w:szCs w:val="32"/>
          <w:lang w:val="en-US" w:eastAsia="zh-CN" w:bidi="ar"/>
        </w:rPr>
        <w:t>日至</w:t>
      </w:r>
      <w:r>
        <w:rPr>
          <w:rFonts w:hint="default" w:ascii="Times New Roman" w:hAnsi="Times New Roman" w:eastAsia="仿宋" w:cs="Times New Roman"/>
          <w:kern w:val="0"/>
          <w:sz w:val="32"/>
          <w:szCs w:val="32"/>
          <w:lang w:val="en-US" w:eastAsia="zh-CN" w:bidi="ar"/>
        </w:rPr>
        <w:t>2021</w:t>
      </w:r>
      <w:r>
        <w:rPr>
          <w:rFonts w:hint="eastAsia" w:ascii="仿宋" w:hAnsi="仿宋" w:eastAsia="仿宋" w:cs="仿宋"/>
          <w:kern w:val="0"/>
          <w:sz w:val="32"/>
          <w:szCs w:val="32"/>
          <w:lang w:val="en-US" w:eastAsia="zh-CN" w:bidi="ar"/>
        </w:rPr>
        <w:t>年</w:t>
      </w:r>
      <w:r>
        <w:rPr>
          <w:rFonts w:hint="default" w:ascii="Times New Roman" w:hAnsi="Times New Roman" w:eastAsia="仿宋" w:cs="Times New Roman"/>
          <w:kern w:val="0"/>
          <w:sz w:val="32"/>
          <w:szCs w:val="32"/>
          <w:lang w:val="en-US" w:eastAsia="zh-CN" w:bidi="ar"/>
        </w:rPr>
        <w:t>12</w:t>
      </w:r>
      <w:r>
        <w:rPr>
          <w:rFonts w:hint="eastAsia" w:ascii="仿宋" w:hAnsi="仿宋" w:eastAsia="仿宋" w:cs="仿宋"/>
          <w:kern w:val="0"/>
          <w:sz w:val="32"/>
          <w:szCs w:val="32"/>
          <w:lang w:val="en-US" w:eastAsia="zh-CN" w:bidi="ar"/>
        </w:rPr>
        <w:t>月</w:t>
      </w:r>
      <w:r>
        <w:rPr>
          <w:rFonts w:hint="default" w:ascii="Times New Roman" w:hAnsi="Times New Roman" w:eastAsia="仿宋" w:cs="Times New Roman"/>
          <w:kern w:val="0"/>
          <w:sz w:val="32"/>
          <w:szCs w:val="32"/>
          <w:lang w:val="en-US" w:eastAsia="zh-CN" w:bidi="ar"/>
        </w:rPr>
        <w:t>31</w:t>
      </w:r>
      <w:r>
        <w:rPr>
          <w:rFonts w:hint="eastAsia" w:ascii="仿宋" w:hAnsi="仿宋" w:eastAsia="仿宋" w:cs="仿宋"/>
          <w:kern w:val="0"/>
          <w:sz w:val="32"/>
          <w:szCs w:val="32"/>
          <w:lang w:val="en-US" w:eastAsia="zh-CN" w:bidi="ar"/>
        </w:rPr>
        <w:t>日。本年度工作报告可在六安市叶集区市场监督管理局信息公开平台下载（</w:t>
      </w:r>
      <w:r>
        <w:rPr>
          <w:rFonts w:hint="default" w:ascii="Times New Roman" w:hAnsi="Times New Roman" w:eastAsia="仿宋" w:cs="Times New Roman"/>
          <w:kern w:val="0"/>
          <w:sz w:val="32"/>
          <w:szCs w:val="32"/>
          <w:lang w:val="en-US" w:eastAsia="zh-CN" w:bidi="ar"/>
        </w:rPr>
        <w:t>https://www.ahyeji.gov.cn/public/column/6599461?type=4&amp;action=list&amp;nav=3&amp;catId=7067611</w:t>
      </w:r>
      <w:r>
        <w:rPr>
          <w:rFonts w:hint="eastAsia" w:ascii="仿宋" w:hAnsi="仿宋" w:eastAsia="仿宋" w:cs="仿宋"/>
          <w:kern w:val="0"/>
          <w:sz w:val="32"/>
          <w:szCs w:val="32"/>
          <w:lang w:val="en-US" w:eastAsia="zh-CN" w:bidi="ar"/>
        </w:rPr>
        <w:t>）。</w:t>
      </w:r>
      <w:r>
        <w:rPr>
          <w:rFonts w:hint="eastAsia" w:ascii="仿宋" w:hAnsi="仿宋" w:eastAsia="仿宋" w:cs="仿宋"/>
          <w:color w:val="000000"/>
          <w:kern w:val="0"/>
          <w:sz w:val="32"/>
          <w:szCs w:val="32"/>
          <w:lang w:val="en-US" w:eastAsia="zh-CN" w:bidi="ar"/>
        </w:rPr>
        <w:t>如对本报告有任何疑问，请与六安市叶集区市场监督管理局联系。</w:t>
      </w:r>
      <w:r>
        <w:rPr>
          <w:rFonts w:hint="eastAsia" w:ascii="仿宋" w:hAnsi="仿宋" w:eastAsia="仿宋" w:cs="仿宋"/>
          <w:kern w:val="0"/>
          <w:sz w:val="32"/>
          <w:szCs w:val="32"/>
          <w:lang w:val="en-US" w:eastAsia="zh-CN" w:bidi="ar"/>
        </w:rPr>
        <w:t>（地址：六安市叶集区</w:t>
      </w:r>
      <w:r>
        <w:rPr>
          <w:rFonts w:hint="eastAsia" w:ascii="仿宋" w:hAnsi="仿宋" w:eastAsia="仿宋" w:cs="仿宋"/>
          <w:color w:val="000000"/>
          <w:kern w:val="0"/>
          <w:sz w:val="32"/>
          <w:szCs w:val="32"/>
          <w:lang w:val="en-US" w:eastAsia="zh-CN" w:bidi="ar"/>
        </w:rPr>
        <w:t>行政服务中</w:t>
      </w:r>
      <w:r>
        <w:rPr>
          <w:rFonts w:hint="eastAsia" w:ascii="仿宋" w:hAnsi="仿宋" w:eastAsia="仿宋" w:cs="仿宋"/>
          <w:kern w:val="0"/>
          <w:sz w:val="32"/>
          <w:szCs w:val="32"/>
          <w:lang w:val="en-US" w:eastAsia="zh-CN" w:bidi="ar"/>
        </w:rPr>
        <w:t>心6楼，联系电话：0564-648863</w:t>
      </w:r>
      <w:r>
        <w:rPr>
          <w:rFonts w:hint="eastAsia" w:ascii="仿宋" w:hAnsi="仿宋" w:eastAsia="仿宋" w:cs="仿宋"/>
          <w:color w:val="000000"/>
          <w:kern w:val="0"/>
          <w:sz w:val="32"/>
          <w:szCs w:val="32"/>
          <w:lang w:val="en-US" w:eastAsia="zh-CN" w:bidi="ar"/>
        </w:rPr>
        <w:t>7</w:t>
      </w:r>
      <w:r>
        <w:rPr>
          <w:rFonts w:ascii="宋体" w:hAnsi="宋体" w:eastAsia="宋体" w:cs="宋体"/>
          <w:color w:val="000000"/>
          <w:kern w:val="0"/>
          <w:sz w:val="32"/>
          <w:szCs w:val="32"/>
          <w:lang w:val="en-US" w:eastAsia="zh-CN" w:bidi="ar"/>
        </w:rPr>
        <w:t xml:space="preserve"> </w:t>
      </w:r>
      <w:r>
        <w:rPr>
          <w:rFonts w:hint="eastAsia" w:ascii="仿宋" w:hAnsi="仿宋" w:eastAsia="仿宋" w:cs="仿宋"/>
          <w:caps w:val="0"/>
          <w:color w:val="000000"/>
          <w:spacing w:val="0"/>
          <w:kern w:val="0"/>
          <w:sz w:val="32"/>
          <w:szCs w:val="32"/>
          <w:shd w:val="clear" w:fill="FFFFFF"/>
          <w:lang w:val="en-US" w:eastAsia="zh-CN" w:bidi="ar"/>
        </w:rPr>
        <w:t>，邮编：237431</w:t>
      </w:r>
      <w:r>
        <w:rPr>
          <w:rFonts w:hint="eastAsia" w:ascii="仿宋" w:hAnsi="仿宋" w:eastAsia="仿宋" w:cs="仿宋"/>
          <w:color w:val="000000"/>
          <w:kern w:val="0"/>
          <w:sz w:val="32"/>
          <w:szCs w:val="32"/>
          <w:lang w:val="en-US" w:eastAsia="zh-CN" w:bidi="ar"/>
        </w:rPr>
        <w:t>）</w:t>
      </w:r>
      <w:r>
        <w:rPr>
          <w:rFonts w:ascii="宋体" w:hAnsi="宋体" w:eastAsia="宋体" w:cs="宋体"/>
          <w:kern w:val="0"/>
          <w:sz w:val="24"/>
          <w:szCs w:val="24"/>
          <w:lang w:val="en-US" w:eastAsia="zh-CN" w:bidi="ar"/>
        </w:rPr>
        <w:t xml:space="preserve"> </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firstLine="640"/>
        <w:jc w:val="left"/>
        <w:textAlignment w:val="auto"/>
        <w:rPr>
          <w:rFonts w:hint="default" w:ascii="Times New Roman" w:hAnsi="Times New Roman" w:cs="Times New Roman"/>
          <w:sz w:val="21"/>
          <w:szCs w:val="21"/>
        </w:rPr>
      </w:pPr>
      <w:r>
        <w:rPr>
          <w:rFonts w:ascii="黑体" w:hAnsi="宋体" w:eastAsia="黑体" w:cs="黑体"/>
          <w:sz w:val="32"/>
          <w:szCs w:val="32"/>
        </w:rPr>
        <w:t>一、</w:t>
      </w:r>
      <w:r>
        <w:rPr>
          <w:rFonts w:hint="eastAsia" w:ascii="黑体" w:hAnsi="宋体" w:eastAsia="黑体" w:cs="黑体"/>
          <w:sz w:val="32"/>
          <w:szCs w:val="32"/>
        </w:rPr>
        <w:t>总体情况</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firstLine="640"/>
        <w:jc w:val="both"/>
        <w:textAlignment w:val="auto"/>
        <w:rPr>
          <w:rFonts w:hint="default" w:ascii="Times New Roman" w:hAnsi="Times New Roman" w:cs="Times New Roman"/>
          <w:sz w:val="21"/>
          <w:szCs w:val="21"/>
        </w:rPr>
      </w:pPr>
      <w:r>
        <w:rPr>
          <w:rFonts w:ascii="楷体" w:hAnsi="楷体" w:eastAsia="楷体" w:cs="楷体"/>
          <w:sz w:val="32"/>
          <w:szCs w:val="32"/>
        </w:rPr>
        <w:t>(一)</w:t>
      </w:r>
      <w:r>
        <w:rPr>
          <w:rFonts w:hint="eastAsia" w:ascii="楷体" w:hAnsi="楷体" w:eastAsia="楷体" w:cs="楷体"/>
          <w:sz w:val="32"/>
          <w:szCs w:val="32"/>
        </w:rPr>
        <w:t>主动公开</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firstLine="640"/>
        <w:jc w:val="both"/>
        <w:textAlignment w:val="auto"/>
        <w:rPr>
          <w:rFonts w:hint="default" w:ascii="Times New Roman" w:hAnsi="Times New Roman" w:cs="Times New Roman"/>
          <w:sz w:val="21"/>
          <w:szCs w:val="21"/>
        </w:rPr>
      </w:pPr>
      <w:r>
        <w:rPr>
          <w:rFonts w:hint="eastAsia" w:ascii="仿宋" w:hAnsi="仿宋" w:eastAsia="仿宋" w:cs="仿宋"/>
          <w:i w:val="0"/>
          <w:iCs w:val="0"/>
          <w:caps w:val="0"/>
          <w:color w:val="333333"/>
          <w:spacing w:val="0"/>
          <w:sz w:val="32"/>
          <w:szCs w:val="32"/>
          <w:bdr w:val="none" w:color="auto" w:sz="0" w:space="0"/>
          <w:shd w:val="clear" w:fill="FFFFFF"/>
        </w:rPr>
        <w:t>本年度我局主动公开共计617条，其中重点领域信息公开170条。一是做好规范性文件的发布。广泛征求社会公众对规范性文件的意见和建议，并及时修改完善;二是规范文件解读，严格按照“七要素”做好规范性文件的解读和发布，本年度共计发布文字解读2篇、图解1篇；三是协助区政府公开办增设“高标准市场体系建设”栏目，及时发布市场监管领域的工作动态，营造社会共治氛围，本年度该栏目共计发布内容56条；四是维护市场公平竞争，按季度公开不正当竞争案件，反垄断与反不正当竞争执法栏目公开发布内容6条；五是完善“两化”栏目建设，按季度公开食品、药品和化妆品监督检查信息、行政审批及行政处罚信息，发布食品安全消费警示信息5条。</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firstLine="640"/>
        <w:jc w:val="both"/>
        <w:textAlignment w:val="auto"/>
        <w:rPr>
          <w:rFonts w:hint="default" w:ascii="Times New Roman" w:hAnsi="Times New Roman" w:cs="Times New Roman"/>
          <w:sz w:val="21"/>
          <w:szCs w:val="21"/>
        </w:rPr>
      </w:pPr>
      <w:r>
        <w:rPr>
          <w:rFonts w:hint="eastAsia" w:ascii="楷体" w:hAnsi="楷体" w:eastAsia="楷体" w:cs="楷体"/>
          <w:sz w:val="32"/>
          <w:szCs w:val="32"/>
        </w:rPr>
        <w:t>(二）依申请公开</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firstLine="640"/>
        <w:jc w:val="both"/>
        <w:textAlignment w:val="auto"/>
        <w:rPr>
          <w:rFonts w:hint="default" w:ascii="Times New Roman" w:hAnsi="Times New Roman" w:cs="Times New Roman"/>
          <w:sz w:val="21"/>
          <w:szCs w:val="21"/>
        </w:rPr>
      </w:pPr>
      <w:r>
        <w:rPr>
          <w:rFonts w:hint="eastAsia" w:ascii="仿宋" w:hAnsi="仿宋" w:eastAsia="仿宋" w:cs="仿宋"/>
          <w:sz w:val="32"/>
          <w:szCs w:val="32"/>
        </w:rPr>
        <w:t>本年度共计收到依申请公开1件，办理完成1件，办结率100%。一是完善依申请公开制度。及时修订依申请公开制度和公开流程，做到制度清晰，流程明确；</w:t>
      </w:r>
      <w:r>
        <w:rPr>
          <w:rFonts w:hint="eastAsia" w:ascii="仿宋" w:hAnsi="仿宋" w:eastAsia="仿宋" w:cs="仿宋"/>
          <w:color w:val="000000"/>
          <w:sz w:val="32"/>
          <w:szCs w:val="32"/>
        </w:rPr>
        <w:t>二是做好依申请公开平台日常维护。将往年依申请公开件录入平台并做好公开，减少相同问题的重复申请；三是提升依申请公开办结时效。每日关注依申请公开平台，确保及时收悉依申请公开件并在20个工作日内办结。</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firstLine="640"/>
        <w:jc w:val="both"/>
        <w:textAlignment w:val="auto"/>
        <w:rPr>
          <w:rFonts w:hint="default" w:ascii="Times New Roman" w:hAnsi="Times New Roman" w:cs="Times New Roman"/>
          <w:sz w:val="21"/>
          <w:szCs w:val="21"/>
        </w:rPr>
      </w:pPr>
      <w:r>
        <w:rPr>
          <w:rFonts w:hint="eastAsia" w:ascii="楷体" w:hAnsi="楷体" w:eastAsia="楷体" w:cs="楷体"/>
          <w:sz w:val="32"/>
          <w:szCs w:val="32"/>
        </w:rPr>
        <w:t>（三）政府信息管理</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firstLine="640"/>
        <w:jc w:val="both"/>
        <w:textAlignment w:val="auto"/>
        <w:rPr>
          <w:rFonts w:hint="default" w:ascii="Times New Roman" w:hAnsi="Times New Roman" w:cs="Times New Roman"/>
          <w:sz w:val="21"/>
          <w:szCs w:val="21"/>
        </w:rPr>
      </w:pPr>
      <w:r>
        <w:rPr>
          <w:rFonts w:hint="eastAsia" w:ascii="仿宋" w:hAnsi="仿宋" w:eastAsia="仿宋" w:cs="仿宋"/>
          <w:color w:val="000000"/>
          <w:sz w:val="32"/>
          <w:szCs w:val="32"/>
        </w:rPr>
        <w:t>一是依据《六安市叶集区人民政府办公室关于进一步做好政策解读回应的通知》等12项制度，推动政策解读等重点工作落实，并积极参加政务公开培训和集中办公，提升政务公开业务水平，及时学习新的公开规范和法律法规；二是严格落实“三审”制度，严格执行“分级审核、先审后发”程序，层层把关，排除隐患，堵住漏洞；三是开展规范性文件专项清理，及时发布最新清理结果。</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firstLine="640"/>
        <w:jc w:val="both"/>
        <w:textAlignment w:val="auto"/>
        <w:rPr>
          <w:rFonts w:hint="default" w:ascii="Times New Roman" w:hAnsi="Times New Roman" w:cs="Times New Roman"/>
          <w:sz w:val="21"/>
          <w:szCs w:val="21"/>
        </w:rPr>
      </w:pPr>
      <w:r>
        <w:rPr>
          <w:rFonts w:hint="eastAsia" w:ascii="楷体" w:hAnsi="楷体" w:eastAsia="楷体" w:cs="楷体"/>
          <w:sz w:val="32"/>
          <w:szCs w:val="32"/>
        </w:rPr>
        <w:t>（四）政府信息公开平台建设</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firstLine="640"/>
        <w:jc w:val="both"/>
        <w:textAlignment w:val="auto"/>
        <w:rPr>
          <w:rFonts w:hint="default" w:ascii="Times New Roman" w:hAnsi="Times New Roman" w:cs="Times New Roman"/>
          <w:sz w:val="21"/>
          <w:szCs w:val="21"/>
        </w:rPr>
      </w:pPr>
      <w:r>
        <w:rPr>
          <w:rFonts w:hint="eastAsia" w:ascii="仿宋" w:hAnsi="仿宋" w:eastAsia="仿宋" w:cs="仿宋"/>
          <w:sz w:val="32"/>
          <w:szCs w:val="32"/>
        </w:rPr>
        <w:t>一是结合政务公开工作需要和我局实际，增设“市场监管规则和标准”栏目，按照业务类别发布规章制度，提高文件查找便捷度；二是完善公开指南。依据《中华人民共和国政府信息公开条例》，修改本单位公开指南，做到流程明确、地址明确、形式明确等；三是推动“两化”栏目的不断完善。及时维护好食品药品监管信息，发布食品安全监督抽检结果和宣传工作信息。</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firstLine="640"/>
        <w:jc w:val="both"/>
        <w:textAlignment w:val="auto"/>
        <w:rPr>
          <w:rFonts w:hint="default" w:ascii="Times New Roman" w:hAnsi="Times New Roman" w:cs="Times New Roman"/>
          <w:sz w:val="21"/>
          <w:szCs w:val="21"/>
        </w:rPr>
      </w:pPr>
      <w:r>
        <w:rPr>
          <w:rFonts w:hint="eastAsia" w:ascii="楷体" w:hAnsi="楷体" w:eastAsia="楷体" w:cs="楷体"/>
          <w:sz w:val="32"/>
          <w:szCs w:val="32"/>
        </w:rPr>
        <w:t>（五）监督保障</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firstLine="640"/>
        <w:jc w:val="both"/>
        <w:textAlignment w:val="auto"/>
        <w:rPr>
          <w:rFonts w:hint="default" w:ascii="Times New Roman" w:hAnsi="Times New Roman" w:cs="Times New Roman"/>
          <w:sz w:val="21"/>
          <w:szCs w:val="21"/>
        </w:rPr>
      </w:pPr>
      <w:r>
        <w:rPr>
          <w:rFonts w:hint="eastAsia" w:ascii="仿宋" w:hAnsi="仿宋" w:eastAsia="仿宋" w:cs="仿宋"/>
          <w:sz w:val="32"/>
          <w:szCs w:val="32"/>
        </w:rPr>
        <w:t>一是结合国办、省、市、区的测评结果，及时补差补缺，并将整改内容和结果进行公开，接收社会监督</w:t>
      </w:r>
      <w:r>
        <w:rPr>
          <w:rFonts w:hint="eastAsia" w:ascii="仿宋" w:hAnsi="仿宋" w:eastAsia="仿宋" w:cs="仿宋"/>
          <w:color w:val="000000"/>
          <w:sz w:val="32"/>
          <w:szCs w:val="32"/>
        </w:rPr>
        <w:t>；</w:t>
      </w:r>
      <w:r>
        <w:rPr>
          <w:rFonts w:hint="eastAsia" w:ascii="仿宋" w:hAnsi="仿宋" w:eastAsia="仿宋" w:cs="仿宋"/>
          <w:sz w:val="32"/>
          <w:szCs w:val="32"/>
        </w:rPr>
        <w:t>二是制定并印发了</w:t>
      </w:r>
      <w:r>
        <w:rPr>
          <w:rFonts w:hint="eastAsia" w:ascii="仿宋" w:hAnsi="仿宋" w:eastAsia="仿宋" w:cs="仿宋"/>
          <w:color w:val="000000"/>
          <w:sz w:val="32"/>
          <w:szCs w:val="32"/>
        </w:rPr>
        <w:t>本年度政务公开重点工作任务分工明确具体任务、责任科室和时限要求，保质保量完成公开任务。</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firstLine="640"/>
        <w:jc w:val="left"/>
        <w:textAlignment w:val="auto"/>
        <w:rPr>
          <w:rFonts w:hint="default" w:ascii="Times New Roman" w:hAnsi="Times New Roman" w:cs="Times New Roman"/>
          <w:sz w:val="21"/>
          <w:szCs w:val="21"/>
        </w:rPr>
      </w:pPr>
      <w:r>
        <w:rPr>
          <w:rFonts w:hint="eastAsia" w:ascii="黑体" w:hAnsi="宋体" w:eastAsia="黑体" w:cs="黑体"/>
          <w:sz w:val="32"/>
          <w:szCs w:val="32"/>
        </w:rPr>
        <w:t>二、主动公开政府信息情况</w:t>
      </w:r>
    </w:p>
    <w:tbl>
      <w:tblPr>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105"/>
        <w:gridCol w:w="2105"/>
        <w:gridCol w:w="2105"/>
        <w:gridCol w:w="21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95" w:hRule="atLeast"/>
          <w:jc w:val="center"/>
        </w:trPr>
        <w:tc>
          <w:tcPr>
            <w:tcW w:w="5000" w:type="pct"/>
            <w:gridSpan w:val="4"/>
            <w:tcBorders>
              <w:top w:val="single" w:color="auto" w:sz="12" w:space="0"/>
              <w:left w:val="single" w:color="auto" w:sz="12" w:space="0"/>
              <w:bottom w:val="single" w:color="auto" w:sz="8" w:space="0"/>
              <w:right w:val="single" w:color="auto" w:sz="12"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ascii="华文中宋" w:hAnsi="华文中宋" w:eastAsia="华文中宋" w:cs="华文中宋"/>
                <w:color w:val="000000"/>
                <w:sz w:val="21"/>
                <w:szCs w:val="21"/>
              </w:rPr>
              <w:t>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1250" w:type="pct"/>
            <w:tcBorders>
              <w:top w:val="single" w:color="auto" w:sz="8" w:space="0"/>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信息内容</w:t>
            </w:r>
          </w:p>
        </w:tc>
        <w:tc>
          <w:tcPr>
            <w:tcW w:w="1250" w:type="pct"/>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本年</w:t>
            </w:r>
            <w:r>
              <w:rPr>
                <w:rFonts w:hint="eastAsia" w:ascii="华文中宋" w:hAnsi="华文中宋" w:eastAsia="华文中宋" w:cs="华文中宋"/>
                <w:sz w:val="21"/>
                <w:szCs w:val="21"/>
              </w:rPr>
              <w:t>制发件数</w:t>
            </w:r>
          </w:p>
        </w:tc>
        <w:tc>
          <w:tcPr>
            <w:tcW w:w="1250" w:type="pct"/>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本年废止件数</w:t>
            </w:r>
          </w:p>
        </w:tc>
        <w:tc>
          <w:tcPr>
            <w:tcW w:w="1250" w:type="pct"/>
            <w:tcBorders>
              <w:top w:val="single" w:color="auto" w:sz="8" w:space="0"/>
              <w:left w:val="single" w:color="auto" w:sz="8" w:space="0"/>
              <w:bottom w:val="single" w:color="auto" w:sz="8" w:space="0"/>
              <w:right w:val="single" w:color="auto" w:sz="12"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现行有效件</w:t>
            </w:r>
            <w:r>
              <w:rPr>
                <w:rFonts w:hint="eastAsia" w:ascii="华文中宋" w:hAnsi="华文中宋" w:eastAsia="华文中宋" w:cs="华文中宋"/>
                <w:sz w:val="21"/>
                <w:szCs w:val="21"/>
              </w:rPr>
              <w:t>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1250" w:type="pct"/>
            <w:tcBorders>
              <w:top w:val="single" w:color="auto" w:sz="8" w:space="0"/>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规章</w:t>
            </w:r>
          </w:p>
        </w:tc>
        <w:tc>
          <w:tcPr>
            <w:tcW w:w="1250" w:type="pct"/>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宋体" w:hAnsi="宋体" w:eastAsia="宋体" w:cs="宋体"/>
                <w:color w:val="000000"/>
                <w:sz w:val="21"/>
                <w:szCs w:val="21"/>
              </w:rPr>
              <w:t>0</w:t>
            </w:r>
          </w:p>
        </w:tc>
        <w:tc>
          <w:tcPr>
            <w:tcW w:w="1250" w:type="pct"/>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宋体" w:hAnsi="宋体" w:eastAsia="宋体" w:cs="宋体"/>
                <w:color w:val="000000"/>
                <w:sz w:val="21"/>
                <w:szCs w:val="21"/>
              </w:rPr>
              <w:t>0</w:t>
            </w:r>
          </w:p>
        </w:tc>
        <w:tc>
          <w:tcPr>
            <w:tcW w:w="1250" w:type="pct"/>
            <w:tcBorders>
              <w:top w:val="single" w:color="auto" w:sz="8" w:space="0"/>
              <w:left w:val="single" w:color="auto" w:sz="8" w:space="0"/>
              <w:bottom w:val="single" w:color="auto" w:sz="8" w:space="0"/>
              <w:right w:val="single" w:color="auto" w:sz="12"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宋体" w:hAnsi="宋体" w:eastAsia="宋体" w:cs="宋体"/>
                <w:color w:val="00000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1250" w:type="pct"/>
            <w:tcBorders>
              <w:top w:val="single" w:color="auto" w:sz="8" w:space="0"/>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行政规范性文件</w:t>
            </w:r>
          </w:p>
        </w:tc>
        <w:tc>
          <w:tcPr>
            <w:tcW w:w="1250" w:type="pct"/>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sz w:val="21"/>
                <w:szCs w:val="21"/>
              </w:rPr>
            </w:pPr>
            <w:r>
              <w:rPr>
                <w:rFonts w:hint="default" w:ascii="Times New Roman" w:hAnsi="Times New Roman" w:cs="Times New Roman"/>
                <w:sz w:val="21"/>
                <w:szCs w:val="21"/>
              </w:rPr>
              <w:t>1</w:t>
            </w:r>
          </w:p>
        </w:tc>
        <w:tc>
          <w:tcPr>
            <w:tcW w:w="1250" w:type="pct"/>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宋体" w:hAnsi="宋体" w:eastAsia="宋体" w:cs="宋体"/>
                <w:color w:val="000000"/>
                <w:sz w:val="21"/>
                <w:szCs w:val="21"/>
              </w:rPr>
              <w:t>0</w:t>
            </w:r>
          </w:p>
        </w:tc>
        <w:tc>
          <w:tcPr>
            <w:tcW w:w="1250" w:type="pct"/>
            <w:tcBorders>
              <w:top w:val="single" w:color="auto" w:sz="8" w:space="0"/>
              <w:left w:val="single" w:color="auto" w:sz="8" w:space="0"/>
              <w:bottom w:val="single" w:color="auto" w:sz="8" w:space="0"/>
              <w:right w:val="single" w:color="auto" w:sz="12"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sz w:val="21"/>
                <w:szCs w:val="21"/>
              </w:rPr>
            </w:pPr>
            <w:r>
              <w:rPr>
                <w:rFonts w:hint="default" w:ascii="Times New Roman" w:hAnsi="Times New Roman" w:cs="Times New Roman"/>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5000" w:type="pct"/>
            <w:gridSpan w:val="4"/>
            <w:tcBorders>
              <w:top w:val="single" w:color="auto" w:sz="8" w:space="0"/>
              <w:left w:val="single" w:color="auto" w:sz="12" w:space="0"/>
              <w:bottom w:val="single" w:color="auto" w:sz="8" w:space="0"/>
              <w:right w:val="single" w:color="auto" w:sz="12"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第二十条第（五）项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1250" w:type="pct"/>
            <w:tcBorders>
              <w:top w:val="single" w:color="auto" w:sz="8" w:space="0"/>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信息内容</w:t>
            </w:r>
          </w:p>
        </w:tc>
        <w:tc>
          <w:tcPr>
            <w:tcW w:w="3750" w:type="pct"/>
            <w:gridSpan w:val="3"/>
            <w:tcBorders>
              <w:top w:val="single" w:color="auto" w:sz="8" w:space="0"/>
              <w:left w:val="single" w:color="auto" w:sz="8" w:space="0"/>
              <w:bottom w:val="single" w:color="auto" w:sz="8" w:space="0"/>
              <w:right w:val="single" w:color="auto" w:sz="12"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1250" w:type="pct"/>
            <w:tcBorders>
              <w:top w:val="single" w:color="auto" w:sz="8" w:space="0"/>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行政许可</w:t>
            </w:r>
          </w:p>
        </w:tc>
        <w:tc>
          <w:tcPr>
            <w:tcW w:w="3750" w:type="pct"/>
            <w:gridSpan w:val="3"/>
            <w:tcBorders>
              <w:top w:val="single" w:color="auto" w:sz="8" w:space="0"/>
              <w:left w:val="single" w:color="auto" w:sz="8" w:space="0"/>
              <w:bottom w:val="single" w:color="auto" w:sz="8" w:space="0"/>
              <w:right w:val="single" w:color="auto" w:sz="12"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4787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5000" w:type="pct"/>
            <w:gridSpan w:val="4"/>
            <w:tcBorders>
              <w:top w:val="single" w:color="auto" w:sz="8" w:space="0"/>
              <w:left w:val="single" w:color="auto" w:sz="12" w:space="0"/>
              <w:bottom w:val="single" w:color="auto" w:sz="8" w:space="0"/>
              <w:right w:val="single" w:color="auto" w:sz="12"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第二十条第（六）项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1250" w:type="pct"/>
            <w:tcBorders>
              <w:top w:val="single" w:color="auto" w:sz="8" w:space="0"/>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信息内容</w:t>
            </w:r>
          </w:p>
        </w:tc>
        <w:tc>
          <w:tcPr>
            <w:tcW w:w="3750" w:type="pct"/>
            <w:gridSpan w:val="3"/>
            <w:tcBorders>
              <w:top w:val="single" w:color="auto" w:sz="8" w:space="0"/>
              <w:left w:val="single" w:color="auto" w:sz="8" w:space="0"/>
              <w:bottom w:val="single" w:color="auto" w:sz="8" w:space="0"/>
              <w:right w:val="single" w:color="auto" w:sz="12"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1250" w:type="pct"/>
            <w:tcBorders>
              <w:top w:val="single" w:color="auto" w:sz="8" w:space="0"/>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行政处罚</w:t>
            </w:r>
          </w:p>
        </w:tc>
        <w:tc>
          <w:tcPr>
            <w:tcW w:w="3750" w:type="pct"/>
            <w:gridSpan w:val="3"/>
            <w:tcBorders>
              <w:top w:val="single" w:color="auto" w:sz="8" w:space="0"/>
              <w:left w:val="single" w:color="auto" w:sz="8" w:space="0"/>
              <w:bottom w:val="single" w:color="auto" w:sz="8" w:space="0"/>
              <w:right w:val="single" w:color="auto" w:sz="12"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宋体" w:hAnsi="宋体" w:eastAsia="宋体" w:cs="宋体"/>
                <w:color w:val="000000"/>
                <w:sz w:val="21"/>
                <w:szCs w:val="21"/>
              </w:rPr>
              <w:t>126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1250" w:type="pct"/>
            <w:tcBorders>
              <w:top w:val="single" w:color="auto" w:sz="8" w:space="0"/>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行政强制</w:t>
            </w:r>
          </w:p>
        </w:tc>
        <w:tc>
          <w:tcPr>
            <w:tcW w:w="3750" w:type="pct"/>
            <w:gridSpan w:val="3"/>
            <w:tcBorders>
              <w:top w:val="single" w:color="auto" w:sz="8" w:space="0"/>
              <w:left w:val="single" w:color="auto" w:sz="8" w:space="0"/>
              <w:bottom w:val="single" w:color="auto" w:sz="8" w:space="0"/>
              <w:right w:val="single" w:color="auto" w:sz="12"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宋体" w:hAnsi="宋体" w:eastAsia="宋体" w:cs="宋体"/>
                <w:color w:val="000000"/>
                <w:sz w:val="21"/>
                <w:szCs w:val="21"/>
              </w:rPr>
              <w:t>0</w:t>
            </w:r>
            <w:r>
              <w:rPr>
                <w:rFonts w:hint="eastAsia" w:ascii="华文中宋" w:hAnsi="华文中宋" w:eastAsia="华文中宋" w:cs="华文中宋"/>
                <w:color w:val="00000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5000" w:type="pct"/>
            <w:gridSpan w:val="4"/>
            <w:tcBorders>
              <w:top w:val="single" w:color="auto" w:sz="8" w:space="0"/>
              <w:left w:val="single" w:color="auto" w:sz="12" w:space="0"/>
              <w:bottom w:val="single" w:color="auto" w:sz="8" w:space="0"/>
              <w:right w:val="single" w:color="auto" w:sz="12"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第二十条第（八）项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1250" w:type="pct"/>
            <w:tcBorders>
              <w:top w:val="single" w:color="auto" w:sz="8" w:space="0"/>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信息内容</w:t>
            </w:r>
          </w:p>
        </w:tc>
        <w:tc>
          <w:tcPr>
            <w:tcW w:w="3750" w:type="pct"/>
            <w:gridSpan w:val="3"/>
            <w:tcBorders>
              <w:top w:val="single" w:color="auto" w:sz="8" w:space="0"/>
              <w:left w:val="single" w:color="auto" w:sz="8" w:space="0"/>
              <w:bottom w:val="single" w:color="auto" w:sz="8" w:space="0"/>
              <w:right w:val="single" w:color="auto" w:sz="12"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本年收费金额（单位：万元）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1250" w:type="pct"/>
            <w:tcBorders>
              <w:top w:val="single" w:color="auto" w:sz="8" w:space="0"/>
              <w:left w:val="single" w:color="auto" w:sz="12" w:space="0"/>
              <w:bottom w:val="single" w:color="auto" w:sz="12"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行政事业性收费</w:t>
            </w:r>
          </w:p>
        </w:tc>
        <w:tc>
          <w:tcPr>
            <w:tcW w:w="3750" w:type="pct"/>
            <w:gridSpan w:val="3"/>
            <w:tcBorders>
              <w:top w:val="single" w:color="auto" w:sz="8" w:space="0"/>
              <w:left w:val="single" w:color="auto" w:sz="8" w:space="0"/>
              <w:bottom w:val="single" w:color="auto" w:sz="12" w:space="0"/>
              <w:right w:val="single" w:color="auto" w:sz="12"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宋体" w:hAnsi="宋体" w:eastAsia="宋体" w:cs="宋体"/>
                <w:color w:val="000000"/>
                <w:sz w:val="21"/>
                <w:szCs w:val="21"/>
              </w:rPr>
              <w:t>0</w:t>
            </w:r>
          </w:p>
        </w:tc>
      </w:tr>
    </w:tbl>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黑体" w:hAnsi="宋体" w:eastAsia="黑体" w:cs="黑体"/>
          <w:sz w:val="32"/>
          <w:szCs w:val="32"/>
        </w:rPr>
        <w:t>三、收到和处理政府信息公开申请情况</w:t>
      </w:r>
    </w:p>
    <w:tbl>
      <w:tblPr>
        <w:tblW w:w="4858"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50"/>
        <w:gridCol w:w="795"/>
        <w:gridCol w:w="2722"/>
        <w:gridCol w:w="581"/>
        <w:gridCol w:w="581"/>
        <w:gridCol w:w="581"/>
        <w:gridCol w:w="581"/>
        <w:gridCol w:w="581"/>
        <w:gridCol w:w="583"/>
        <w:gridCol w:w="5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82" w:hRule="atLeast"/>
          <w:jc w:val="center"/>
        </w:trPr>
        <w:tc>
          <w:tcPr>
            <w:tcW w:w="2532" w:type="pct"/>
            <w:gridSpan w:val="3"/>
            <w:vMerge w:val="restart"/>
            <w:tcBorders>
              <w:top w:val="single" w:color="auto" w:sz="12"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（本列数据的勾稽关系为：第一项加第二项之和，等于第三项加第四项之和）</w:t>
            </w:r>
          </w:p>
        </w:tc>
        <w:tc>
          <w:tcPr>
            <w:tcW w:w="2467" w:type="pct"/>
            <w:gridSpan w:val="7"/>
            <w:tcBorders>
              <w:top w:val="single" w:color="auto" w:sz="12" w:space="0"/>
              <w:left w:val="single" w:color="auto" w:sz="8" w:space="0"/>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2" w:hRule="atLeast"/>
          <w:jc w:val="center"/>
        </w:trPr>
        <w:tc>
          <w:tcPr>
            <w:tcW w:w="2532" w:type="pct"/>
            <w:gridSpan w:val="3"/>
            <w:vMerge w:val="continue"/>
            <w:tcBorders>
              <w:top w:val="single" w:color="auto" w:sz="12"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353" w:type="pct"/>
            <w:vMerge w:val="restar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自然人</w:t>
            </w:r>
          </w:p>
        </w:tc>
        <w:tc>
          <w:tcPr>
            <w:tcW w:w="1766" w:type="pct"/>
            <w:gridSpan w:val="5"/>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法人或其他组织</w:t>
            </w:r>
          </w:p>
        </w:tc>
        <w:tc>
          <w:tcPr>
            <w:tcW w:w="347" w:type="pct"/>
            <w:vMerge w:val="restart"/>
            <w:tcBorders>
              <w:top w:val="single" w:color="auto" w:sz="8" w:space="0"/>
              <w:left w:val="single" w:color="auto" w:sz="8" w:space="0"/>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2" w:hRule="atLeast"/>
          <w:jc w:val="center"/>
        </w:trPr>
        <w:tc>
          <w:tcPr>
            <w:tcW w:w="2532" w:type="pct"/>
            <w:gridSpan w:val="3"/>
            <w:vMerge w:val="continue"/>
            <w:tcBorders>
              <w:top w:val="single" w:color="auto" w:sz="12"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353" w:type="pct"/>
            <w:vMerge w:val="continue"/>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商业</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企业</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科研</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机构</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社会公益组织</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法律服务机构</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其他</w:t>
            </w:r>
          </w:p>
        </w:tc>
        <w:tc>
          <w:tcPr>
            <w:tcW w:w="347" w:type="pct"/>
            <w:vMerge w:val="continue"/>
            <w:tcBorders>
              <w:top w:val="single" w:color="auto" w:sz="8" w:space="0"/>
              <w:left w:val="single" w:color="auto" w:sz="8" w:space="0"/>
              <w:bottom w:val="single" w:color="auto" w:sz="8" w:space="0"/>
              <w:right w:val="single" w:color="auto" w:sz="12"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2" w:hRule="atLeast"/>
          <w:jc w:val="center"/>
        </w:trPr>
        <w:tc>
          <w:tcPr>
            <w:tcW w:w="2532" w:type="pct"/>
            <w:gridSpan w:val="3"/>
            <w:tcBorders>
              <w:top w:val="single" w:color="auto" w:sz="8" w:space="0"/>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一、本年新收政府信息公开申请数量</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2" w:hRule="atLeast"/>
          <w:jc w:val="center"/>
        </w:trPr>
        <w:tc>
          <w:tcPr>
            <w:tcW w:w="2532" w:type="pct"/>
            <w:gridSpan w:val="3"/>
            <w:tcBorders>
              <w:top w:val="single" w:color="auto" w:sz="8" w:space="0"/>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二、上年结转政府信息公开申请数量</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2" w:hRule="atLeast"/>
          <w:jc w:val="center"/>
        </w:trPr>
        <w:tc>
          <w:tcPr>
            <w:tcW w:w="395" w:type="pct"/>
            <w:vMerge w:val="restart"/>
            <w:tcBorders>
              <w:top w:val="single" w:color="auto" w:sz="8" w:space="0"/>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三、本年度办理结果</w:t>
            </w:r>
          </w:p>
        </w:tc>
        <w:tc>
          <w:tcPr>
            <w:tcW w:w="2137" w:type="pct"/>
            <w:gridSpan w:val="2"/>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（一）予以公开</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2"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2137" w:type="pct"/>
            <w:gridSpan w:val="2"/>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（二）部分公开（区分处理的，只计这一情形，不计其他情形）</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2"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483" w:type="pct"/>
            <w:vMerge w:val="restar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（三）不予公开</w:t>
            </w:r>
          </w:p>
        </w:tc>
        <w:tc>
          <w:tcPr>
            <w:tcW w:w="16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both"/>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1</w:t>
            </w:r>
            <w:r>
              <w:rPr>
                <w:rFonts w:hint="eastAsia" w:ascii="华文中宋" w:hAnsi="华文中宋" w:eastAsia="华文中宋" w:cs="华文中宋"/>
                <w:sz w:val="21"/>
                <w:szCs w:val="21"/>
              </w:rPr>
              <w:t>．属于国家秘密</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2"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both"/>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2</w:t>
            </w:r>
            <w:r>
              <w:rPr>
                <w:rFonts w:hint="eastAsia" w:ascii="华文中宋" w:hAnsi="华文中宋" w:eastAsia="华文中宋" w:cs="华文中宋"/>
                <w:sz w:val="21"/>
                <w:szCs w:val="21"/>
              </w:rPr>
              <w:t>．其他法律行政法规禁止公开</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2"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both"/>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3</w:t>
            </w:r>
            <w:r>
              <w:rPr>
                <w:rFonts w:hint="eastAsia" w:ascii="华文中宋" w:hAnsi="华文中宋" w:eastAsia="华文中宋" w:cs="华文中宋"/>
                <w:sz w:val="21"/>
                <w:szCs w:val="21"/>
              </w:rPr>
              <w:t>．危及“三安全一稳定”</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2"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both"/>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4</w:t>
            </w:r>
            <w:r>
              <w:rPr>
                <w:rFonts w:hint="eastAsia" w:ascii="华文中宋" w:hAnsi="华文中宋" w:eastAsia="华文中宋" w:cs="华文中宋"/>
                <w:sz w:val="21"/>
                <w:szCs w:val="21"/>
              </w:rPr>
              <w:t>．保护第三方合法权益</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2"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both"/>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5</w:t>
            </w:r>
            <w:r>
              <w:rPr>
                <w:rFonts w:hint="eastAsia" w:ascii="华文中宋" w:hAnsi="华文中宋" w:eastAsia="华文中宋" w:cs="华文中宋"/>
                <w:sz w:val="21"/>
                <w:szCs w:val="21"/>
              </w:rPr>
              <w:t>．属于三类内部事务信息</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2"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both"/>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6</w:t>
            </w:r>
            <w:r>
              <w:rPr>
                <w:rFonts w:hint="eastAsia" w:ascii="华文中宋" w:hAnsi="华文中宋" w:eastAsia="华文中宋" w:cs="华文中宋"/>
                <w:sz w:val="21"/>
                <w:szCs w:val="21"/>
              </w:rPr>
              <w:t>．属于四类过程性信息</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2"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both"/>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7</w:t>
            </w:r>
            <w:r>
              <w:rPr>
                <w:rFonts w:hint="eastAsia" w:ascii="华文中宋" w:hAnsi="华文中宋" w:eastAsia="华文中宋" w:cs="华文中宋"/>
                <w:sz w:val="21"/>
                <w:szCs w:val="21"/>
              </w:rPr>
              <w:t>．属于行政执法案卷</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2"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both"/>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8</w:t>
            </w:r>
            <w:r>
              <w:rPr>
                <w:rFonts w:hint="eastAsia" w:ascii="华文中宋" w:hAnsi="华文中宋" w:eastAsia="华文中宋" w:cs="华文中宋"/>
                <w:sz w:val="21"/>
                <w:szCs w:val="21"/>
              </w:rPr>
              <w:t>．属于行政查询事项</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2"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483" w:type="pct"/>
            <w:vMerge w:val="restar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（四）无法提供</w:t>
            </w:r>
          </w:p>
        </w:tc>
        <w:tc>
          <w:tcPr>
            <w:tcW w:w="16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both"/>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1</w:t>
            </w:r>
            <w:r>
              <w:rPr>
                <w:rFonts w:hint="eastAsia" w:ascii="华文中宋" w:hAnsi="华文中宋" w:eastAsia="华文中宋" w:cs="华文中宋"/>
                <w:sz w:val="21"/>
                <w:szCs w:val="21"/>
              </w:rPr>
              <w:t>．本机关不掌握相关政府信息</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1</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2"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both"/>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2</w:t>
            </w:r>
            <w:r>
              <w:rPr>
                <w:rFonts w:hint="eastAsia" w:ascii="华文中宋" w:hAnsi="华文中宋" w:eastAsia="华文中宋" w:cs="华文中宋"/>
                <w:sz w:val="21"/>
                <w:szCs w:val="21"/>
              </w:rPr>
              <w:t>．没有现成信息需要另行制作</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2"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both"/>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3</w:t>
            </w:r>
            <w:r>
              <w:rPr>
                <w:rFonts w:hint="eastAsia" w:ascii="华文中宋" w:hAnsi="华文中宋" w:eastAsia="华文中宋" w:cs="华文中宋"/>
                <w:sz w:val="21"/>
                <w:szCs w:val="21"/>
              </w:rPr>
              <w:t>．补正后申请内容仍不明确</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2"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483" w:type="pct"/>
            <w:vMerge w:val="restar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（五）不予处理</w:t>
            </w:r>
          </w:p>
        </w:tc>
        <w:tc>
          <w:tcPr>
            <w:tcW w:w="16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both"/>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1</w:t>
            </w:r>
            <w:r>
              <w:rPr>
                <w:rFonts w:hint="eastAsia" w:ascii="华文中宋" w:hAnsi="华文中宋" w:eastAsia="华文中宋" w:cs="华文中宋"/>
                <w:sz w:val="21"/>
                <w:szCs w:val="21"/>
              </w:rPr>
              <w:t>．信访举报投诉类申请</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2"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both"/>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2</w:t>
            </w:r>
            <w:r>
              <w:rPr>
                <w:rFonts w:hint="eastAsia" w:ascii="华文中宋" w:hAnsi="华文中宋" w:eastAsia="华文中宋" w:cs="华文中宋"/>
                <w:sz w:val="21"/>
                <w:szCs w:val="21"/>
              </w:rPr>
              <w:t>．重复申请</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2"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both"/>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3</w:t>
            </w:r>
            <w:r>
              <w:rPr>
                <w:rFonts w:hint="eastAsia" w:ascii="华文中宋" w:hAnsi="华文中宋" w:eastAsia="华文中宋" w:cs="华文中宋"/>
                <w:sz w:val="21"/>
                <w:szCs w:val="21"/>
              </w:rPr>
              <w:t>．要求提供公开出版物</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2"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both"/>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4</w:t>
            </w:r>
            <w:r>
              <w:rPr>
                <w:rFonts w:hint="eastAsia" w:ascii="华文中宋" w:hAnsi="华文中宋" w:eastAsia="华文中宋" w:cs="华文中宋"/>
                <w:sz w:val="21"/>
                <w:szCs w:val="21"/>
              </w:rPr>
              <w:t>．无正当理由大量反复申请</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2"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both"/>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5</w:t>
            </w:r>
            <w:r>
              <w:rPr>
                <w:rFonts w:hint="eastAsia" w:ascii="华文中宋" w:hAnsi="华文中宋" w:eastAsia="华文中宋" w:cs="华文中宋"/>
                <w:sz w:val="21"/>
                <w:szCs w:val="21"/>
              </w:rPr>
              <w:t>．要求行政机关确认或重新出具已获取信息</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395" w:type="pct"/>
            <w:vMerge w:val="restart"/>
            <w:tcBorders>
              <w:top w:val="single" w:color="auto" w:sz="8" w:space="0"/>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三、本年度办理结果</w:t>
            </w:r>
          </w:p>
        </w:tc>
        <w:tc>
          <w:tcPr>
            <w:tcW w:w="483" w:type="pct"/>
            <w:vMerge w:val="restar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（六）其他处理</w:t>
            </w:r>
          </w:p>
        </w:tc>
        <w:tc>
          <w:tcPr>
            <w:tcW w:w="16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both"/>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1</w:t>
            </w:r>
            <w:r>
              <w:rPr>
                <w:rFonts w:hint="eastAsia" w:ascii="华文中宋" w:hAnsi="华文中宋" w:eastAsia="华文中宋" w:cs="华文中宋"/>
                <w:sz w:val="21"/>
                <w:szCs w:val="21"/>
              </w:rPr>
              <w:t>．申请人无正当理由逾期不补正、行政机关不再处理其政府信息公开申请</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both"/>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2</w:t>
            </w:r>
            <w:r>
              <w:rPr>
                <w:rFonts w:hint="eastAsia" w:ascii="华文中宋" w:hAnsi="华文中宋" w:eastAsia="华文中宋" w:cs="华文中宋"/>
                <w:sz w:val="21"/>
                <w:szCs w:val="21"/>
              </w:rPr>
              <w:t>．申请人逾期未按收费通知要求缴纳费用、行政机关不再处理其政府信息公开申请</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483" w:type="pct"/>
            <w:vMerge w:val="continue"/>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16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both"/>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3</w:t>
            </w:r>
            <w:r>
              <w:rPr>
                <w:rFonts w:hint="eastAsia" w:ascii="华文中宋" w:hAnsi="华文中宋" w:eastAsia="华文中宋" w:cs="华文中宋"/>
                <w:sz w:val="21"/>
                <w:szCs w:val="21"/>
              </w:rPr>
              <w:t>．其他</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395" w:type="pct"/>
            <w:vMerge w:val="continue"/>
            <w:tcBorders>
              <w:top w:val="single" w:color="auto" w:sz="8" w:space="0"/>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2137" w:type="pct"/>
            <w:gridSpan w:val="2"/>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（七）总计</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1</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7" w:hRule="atLeast"/>
          <w:jc w:val="center"/>
        </w:trPr>
        <w:tc>
          <w:tcPr>
            <w:tcW w:w="2532" w:type="pct"/>
            <w:gridSpan w:val="3"/>
            <w:tcBorders>
              <w:top w:val="single" w:color="auto" w:sz="8" w:space="0"/>
              <w:left w:val="single" w:color="auto" w:sz="12" w:space="0"/>
              <w:bottom w:val="single" w:color="auto" w:sz="12"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四、结转下年度继续办理</w:t>
            </w:r>
          </w:p>
        </w:tc>
        <w:tc>
          <w:tcPr>
            <w:tcW w:w="353" w:type="pct"/>
            <w:tcBorders>
              <w:top w:val="single" w:color="auto" w:sz="8" w:space="0"/>
              <w:left w:val="single" w:color="auto" w:sz="8" w:space="0"/>
              <w:bottom w:val="single" w:color="auto" w:sz="12"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12"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12"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12"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12"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53" w:type="pct"/>
            <w:tcBorders>
              <w:top w:val="single" w:color="auto" w:sz="8" w:space="0"/>
              <w:left w:val="single" w:color="auto" w:sz="8" w:space="0"/>
              <w:bottom w:val="single" w:color="auto" w:sz="12" w:space="0"/>
              <w:right w:val="single" w:color="auto" w:sz="8"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47" w:type="pct"/>
            <w:tcBorders>
              <w:top w:val="single" w:color="auto" w:sz="8" w:space="0"/>
              <w:left w:val="single" w:color="auto" w:sz="8" w:space="0"/>
              <w:bottom w:val="single" w:color="auto" w:sz="12"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r>
    </w:tbl>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firstLine="640"/>
        <w:jc w:val="left"/>
        <w:textAlignment w:val="auto"/>
        <w:rPr>
          <w:rFonts w:hint="default" w:ascii="Times New Roman" w:hAnsi="Times New Roman" w:cs="Times New Roman"/>
          <w:sz w:val="21"/>
          <w:szCs w:val="21"/>
        </w:rPr>
      </w:pPr>
      <w:r>
        <w:rPr>
          <w:rFonts w:hint="eastAsia" w:ascii="黑体" w:hAnsi="宋体" w:eastAsia="黑体" w:cs="黑体"/>
          <w:sz w:val="32"/>
          <w:szCs w:val="32"/>
        </w:rPr>
        <w:t>四、政府信息公开行政复议、行政诉讼情况</w:t>
      </w:r>
    </w:p>
    <w:tbl>
      <w:tblPr>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67"/>
        <w:gridCol w:w="567"/>
        <w:gridCol w:w="567"/>
        <w:gridCol w:w="567"/>
        <w:gridCol w:w="569"/>
        <w:gridCol w:w="568"/>
        <w:gridCol w:w="568"/>
        <w:gridCol w:w="568"/>
        <w:gridCol w:w="568"/>
        <w:gridCol w:w="573"/>
        <w:gridCol w:w="568"/>
        <w:gridCol w:w="568"/>
        <w:gridCol w:w="568"/>
        <w:gridCol w:w="568"/>
        <w:gridCol w:w="5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80" w:hRule="atLeast"/>
          <w:jc w:val="center"/>
        </w:trPr>
        <w:tc>
          <w:tcPr>
            <w:tcW w:w="1666" w:type="pct"/>
            <w:gridSpan w:val="5"/>
            <w:tcBorders>
              <w:top w:val="single" w:color="auto" w:sz="12"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行政复议</w:t>
            </w:r>
          </w:p>
        </w:tc>
        <w:tc>
          <w:tcPr>
            <w:tcW w:w="3333" w:type="pct"/>
            <w:gridSpan w:val="10"/>
            <w:tcBorders>
              <w:top w:val="single" w:color="auto" w:sz="12"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0" w:hRule="atLeast"/>
          <w:jc w:val="center"/>
        </w:trPr>
        <w:tc>
          <w:tcPr>
            <w:tcW w:w="333" w:type="pct"/>
            <w:vMerge w:val="restart"/>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结果维持</w:t>
            </w:r>
          </w:p>
        </w:tc>
        <w:tc>
          <w:tcPr>
            <w:tcW w:w="333" w:type="pct"/>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结果</w:t>
            </w:r>
            <w:r>
              <w:rPr>
                <w:rFonts w:hint="eastAsia" w:ascii="华文中宋" w:hAnsi="华文中宋" w:eastAsia="华文中宋" w:cs="华文中宋"/>
                <w:sz w:val="21"/>
                <w:szCs w:val="21"/>
              </w:rPr>
              <w:br w:type="textWrapping"/>
            </w:r>
            <w:r>
              <w:rPr>
                <w:rFonts w:hint="eastAsia" w:ascii="华文中宋" w:hAnsi="华文中宋" w:eastAsia="华文中宋" w:cs="华文中宋"/>
                <w:sz w:val="21"/>
                <w:szCs w:val="21"/>
              </w:rPr>
              <w:t>纠正</w:t>
            </w:r>
          </w:p>
        </w:tc>
        <w:tc>
          <w:tcPr>
            <w:tcW w:w="333" w:type="pct"/>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其他</w:t>
            </w:r>
            <w:r>
              <w:rPr>
                <w:rFonts w:hint="eastAsia" w:ascii="华文中宋" w:hAnsi="华文中宋" w:eastAsia="华文中宋" w:cs="华文中宋"/>
                <w:sz w:val="21"/>
                <w:szCs w:val="21"/>
              </w:rPr>
              <w:br w:type="textWrapping"/>
            </w:r>
            <w:r>
              <w:rPr>
                <w:rFonts w:hint="eastAsia" w:ascii="华文中宋" w:hAnsi="华文中宋" w:eastAsia="华文中宋" w:cs="华文中宋"/>
                <w:sz w:val="21"/>
                <w:szCs w:val="21"/>
              </w:rPr>
              <w:t>结果</w:t>
            </w:r>
          </w:p>
        </w:tc>
        <w:tc>
          <w:tcPr>
            <w:tcW w:w="333" w:type="pct"/>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尚未</w:t>
            </w:r>
            <w:r>
              <w:rPr>
                <w:rFonts w:hint="eastAsia" w:ascii="华文中宋" w:hAnsi="华文中宋" w:eastAsia="华文中宋" w:cs="华文中宋"/>
                <w:sz w:val="21"/>
                <w:szCs w:val="21"/>
              </w:rPr>
              <w:br w:type="textWrapping"/>
            </w:r>
            <w:r>
              <w:rPr>
                <w:rFonts w:hint="eastAsia" w:ascii="华文中宋" w:hAnsi="华文中宋" w:eastAsia="华文中宋" w:cs="华文中宋"/>
                <w:sz w:val="21"/>
                <w:szCs w:val="21"/>
              </w:rPr>
              <w:t>审结</w:t>
            </w:r>
          </w:p>
        </w:tc>
        <w:tc>
          <w:tcPr>
            <w:tcW w:w="333" w:type="pct"/>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总计</w:t>
            </w:r>
          </w:p>
        </w:tc>
        <w:tc>
          <w:tcPr>
            <w:tcW w:w="1668" w:type="pct"/>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未经复议直接起诉</w:t>
            </w:r>
          </w:p>
        </w:tc>
        <w:tc>
          <w:tcPr>
            <w:tcW w:w="1664" w:type="pct"/>
            <w:gridSpan w:val="5"/>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0" w:hRule="atLeast"/>
          <w:jc w:val="center"/>
        </w:trPr>
        <w:tc>
          <w:tcPr>
            <w:tcW w:w="333" w:type="pct"/>
            <w:vMerge w:val="continue"/>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333" w:type="pct"/>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333" w:type="pct"/>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333" w:type="pct"/>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333" w:type="pct"/>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sz w:val="20"/>
                <w:szCs w:val="20"/>
              </w:rPr>
            </w:pPr>
          </w:p>
        </w:tc>
        <w:tc>
          <w:tcPr>
            <w:tcW w:w="333"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结果</w:t>
            </w:r>
            <w:r>
              <w:rPr>
                <w:rFonts w:hint="eastAsia" w:ascii="华文中宋" w:hAnsi="华文中宋" w:eastAsia="华文中宋" w:cs="华文中宋"/>
                <w:sz w:val="21"/>
                <w:szCs w:val="21"/>
              </w:rPr>
              <w:br w:type="textWrapping"/>
            </w:r>
            <w:r>
              <w:rPr>
                <w:rFonts w:hint="eastAsia" w:ascii="华文中宋" w:hAnsi="华文中宋" w:eastAsia="华文中宋" w:cs="华文中宋"/>
                <w:sz w:val="21"/>
                <w:szCs w:val="21"/>
              </w:rPr>
              <w:t>维持</w:t>
            </w:r>
          </w:p>
        </w:tc>
        <w:tc>
          <w:tcPr>
            <w:tcW w:w="333"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结果</w:t>
            </w:r>
            <w:r>
              <w:rPr>
                <w:rFonts w:hint="eastAsia" w:ascii="华文中宋" w:hAnsi="华文中宋" w:eastAsia="华文中宋" w:cs="华文中宋"/>
                <w:sz w:val="21"/>
                <w:szCs w:val="21"/>
              </w:rPr>
              <w:br w:type="textWrapping"/>
            </w:r>
            <w:r>
              <w:rPr>
                <w:rFonts w:hint="eastAsia" w:ascii="华文中宋" w:hAnsi="华文中宋" w:eastAsia="华文中宋" w:cs="华文中宋"/>
                <w:sz w:val="21"/>
                <w:szCs w:val="21"/>
              </w:rPr>
              <w:t>纠正</w:t>
            </w:r>
          </w:p>
        </w:tc>
        <w:tc>
          <w:tcPr>
            <w:tcW w:w="333"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其他</w:t>
            </w:r>
            <w:r>
              <w:rPr>
                <w:rFonts w:hint="eastAsia" w:ascii="华文中宋" w:hAnsi="华文中宋" w:eastAsia="华文中宋" w:cs="华文中宋"/>
                <w:sz w:val="21"/>
                <w:szCs w:val="21"/>
              </w:rPr>
              <w:br w:type="textWrapping"/>
            </w:r>
            <w:r>
              <w:rPr>
                <w:rFonts w:hint="eastAsia" w:ascii="华文中宋" w:hAnsi="华文中宋" w:eastAsia="华文中宋" w:cs="华文中宋"/>
                <w:sz w:val="21"/>
                <w:szCs w:val="21"/>
              </w:rPr>
              <w:t>结果</w:t>
            </w:r>
          </w:p>
        </w:tc>
        <w:tc>
          <w:tcPr>
            <w:tcW w:w="333"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尚未</w:t>
            </w:r>
            <w:r>
              <w:rPr>
                <w:rFonts w:hint="eastAsia" w:ascii="华文中宋" w:hAnsi="华文中宋" w:eastAsia="华文中宋" w:cs="华文中宋"/>
                <w:sz w:val="21"/>
                <w:szCs w:val="21"/>
              </w:rPr>
              <w:br w:type="textWrapping"/>
            </w:r>
            <w:r>
              <w:rPr>
                <w:rFonts w:hint="eastAsia" w:ascii="华文中宋" w:hAnsi="华文中宋" w:eastAsia="华文中宋" w:cs="华文中宋"/>
                <w:sz w:val="21"/>
                <w:szCs w:val="21"/>
              </w:rPr>
              <w:t>审结</w:t>
            </w:r>
          </w:p>
        </w:tc>
        <w:tc>
          <w:tcPr>
            <w:tcW w:w="333"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总计</w:t>
            </w:r>
          </w:p>
        </w:tc>
        <w:tc>
          <w:tcPr>
            <w:tcW w:w="333"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结果</w:t>
            </w:r>
            <w:r>
              <w:rPr>
                <w:rFonts w:hint="eastAsia" w:ascii="华文中宋" w:hAnsi="华文中宋" w:eastAsia="华文中宋" w:cs="华文中宋"/>
                <w:sz w:val="21"/>
                <w:szCs w:val="21"/>
              </w:rPr>
              <w:br w:type="textWrapping"/>
            </w:r>
            <w:r>
              <w:rPr>
                <w:rFonts w:hint="eastAsia" w:ascii="华文中宋" w:hAnsi="华文中宋" w:eastAsia="华文中宋" w:cs="华文中宋"/>
                <w:sz w:val="21"/>
                <w:szCs w:val="21"/>
              </w:rPr>
              <w:t>维持</w:t>
            </w:r>
          </w:p>
        </w:tc>
        <w:tc>
          <w:tcPr>
            <w:tcW w:w="333"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结果</w:t>
            </w:r>
            <w:r>
              <w:rPr>
                <w:rFonts w:hint="eastAsia" w:ascii="华文中宋" w:hAnsi="华文中宋" w:eastAsia="华文中宋" w:cs="华文中宋"/>
                <w:sz w:val="21"/>
                <w:szCs w:val="21"/>
              </w:rPr>
              <w:br w:type="textWrapping"/>
            </w:r>
            <w:r>
              <w:rPr>
                <w:rFonts w:hint="eastAsia" w:ascii="华文中宋" w:hAnsi="华文中宋" w:eastAsia="华文中宋" w:cs="华文中宋"/>
                <w:sz w:val="21"/>
                <w:szCs w:val="21"/>
              </w:rPr>
              <w:t>纠正</w:t>
            </w:r>
          </w:p>
        </w:tc>
        <w:tc>
          <w:tcPr>
            <w:tcW w:w="333"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其他</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结果</w:t>
            </w:r>
          </w:p>
        </w:tc>
        <w:tc>
          <w:tcPr>
            <w:tcW w:w="333"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尚未</w:t>
            </w:r>
            <w:r>
              <w:rPr>
                <w:rFonts w:hint="eastAsia" w:ascii="华文中宋" w:hAnsi="华文中宋" w:eastAsia="华文中宋" w:cs="华文中宋"/>
                <w:sz w:val="21"/>
                <w:szCs w:val="21"/>
              </w:rPr>
              <w:br w:type="textWrapping"/>
            </w:r>
            <w:r>
              <w:rPr>
                <w:rFonts w:hint="eastAsia" w:ascii="华文中宋" w:hAnsi="华文中宋" w:eastAsia="华文中宋" w:cs="华文中宋"/>
                <w:sz w:val="21"/>
                <w:szCs w:val="21"/>
              </w:rPr>
              <w:t>审结</w:t>
            </w:r>
          </w:p>
        </w:tc>
        <w:tc>
          <w:tcPr>
            <w:tcW w:w="329" w:type="pct"/>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0" w:hRule="atLeast"/>
          <w:jc w:val="center"/>
        </w:trPr>
        <w:tc>
          <w:tcPr>
            <w:tcW w:w="333" w:type="pct"/>
            <w:tcBorders>
              <w:top w:val="single" w:color="auto" w:sz="8" w:space="0"/>
              <w:left w:val="single" w:color="auto" w:sz="12"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33" w:type="pct"/>
            <w:tcBorders>
              <w:top w:val="single" w:color="auto" w:sz="8" w:space="0"/>
              <w:left w:val="single" w:color="auto" w:sz="8"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33" w:type="pct"/>
            <w:tcBorders>
              <w:top w:val="single" w:color="auto" w:sz="8" w:space="0"/>
              <w:left w:val="single" w:color="auto" w:sz="8"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33" w:type="pct"/>
            <w:tcBorders>
              <w:top w:val="single" w:color="auto" w:sz="8" w:space="0"/>
              <w:left w:val="single" w:color="auto" w:sz="8"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33" w:type="pct"/>
            <w:tcBorders>
              <w:top w:val="single" w:color="auto" w:sz="8" w:space="0"/>
              <w:left w:val="single" w:color="auto" w:sz="8"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33" w:type="pct"/>
            <w:tcBorders>
              <w:top w:val="single" w:color="auto" w:sz="8" w:space="0"/>
              <w:left w:val="single" w:color="auto" w:sz="8"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33" w:type="pct"/>
            <w:tcBorders>
              <w:top w:val="single" w:color="auto" w:sz="8" w:space="0"/>
              <w:left w:val="single" w:color="auto" w:sz="8"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33" w:type="pct"/>
            <w:tcBorders>
              <w:top w:val="single" w:color="auto" w:sz="8" w:space="0"/>
              <w:left w:val="single" w:color="auto" w:sz="8"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33" w:type="pct"/>
            <w:tcBorders>
              <w:top w:val="single" w:color="auto" w:sz="8" w:space="0"/>
              <w:left w:val="single" w:color="auto" w:sz="8"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33" w:type="pct"/>
            <w:tcBorders>
              <w:top w:val="single" w:color="auto" w:sz="8" w:space="0"/>
              <w:left w:val="single" w:color="auto" w:sz="8"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33" w:type="pct"/>
            <w:tcBorders>
              <w:top w:val="single" w:color="auto" w:sz="8" w:space="0"/>
              <w:left w:val="single" w:color="auto" w:sz="8"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33" w:type="pct"/>
            <w:tcBorders>
              <w:top w:val="single" w:color="auto" w:sz="8" w:space="0"/>
              <w:left w:val="single" w:color="auto" w:sz="8"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33" w:type="pct"/>
            <w:tcBorders>
              <w:top w:val="single" w:color="auto" w:sz="8" w:space="0"/>
              <w:left w:val="single" w:color="auto" w:sz="8"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33" w:type="pct"/>
            <w:tcBorders>
              <w:top w:val="single" w:color="auto" w:sz="8" w:space="0"/>
              <w:left w:val="single" w:color="auto" w:sz="8"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329" w:type="pct"/>
            <w:tcBorders>
              <w:top w:val="single" w:color="auto" w:sz="8" w:space="0"/>
              <w:left w:val="single" w:color="auto" w:sz="8" w:space="0"/>
              <w:bottom w:val="single" w:color="auto" w:sz="12" w:space="0"/>
              <w:right w:val="single" w:color="auto" w:sz="12"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宋体" w:hAnsi="宋体" w:eastAsia="宋体" w:cs="宋体"/>
                <w:sz w:val="21"/>
                <w:szCs w:val="21"/>
              </w:rPr>
              <w:t>0</w:t>
            </w:r>
          </w:p>
        </w:tc>
      </w:tr>
    </w:tbl>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firstLine="640"/>
        <w:jc w:val="left"/>
        <w:textAlignment w:val="auto"/>
        <w:rPr>
          <w:rFonts w:hint="default" w:ascii="Times New Roman" w:hAnsi="Times New Roman" w:cs="Times New Roman"/>
          <w:sz w:val="21"/>
          <w:szCs w:val="21"/>
        </w:rPr>
      </w:pPr>
      <w:r>
        <w:rPr>
          <w:rFonts w:hint="eastAsia" w:ascii="黑体" w:hAnsi="宋体" w:eastAsia="黑体" w:cs="黑体"/>
          <w:sz w:val="32"/>
          <w:szCs w:val="32"/>
        </w:rPr>
        <w:t>五、存在的主要问题及改进情况</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firstLine="640"/>
        <w:jc w:val="left"/>
        <w:textAlignment w:val="auto"/>
        <w:rPr>
          <w:rFonts w:hint="default" w:ascii="Times New Roman" w:hAnsi="Times New Roman" w:cs="Times New Roman"/>
          <w:sz w:val="21"/>
          <w:szCs w:val="21"/>
        </w:rPr>
      </w:pPr>
      <w:r>
        <w:rPr>
          <w:rFonts w:hint="eastAsia" w:ascii="仿宋" w:hAnsi="仿宋" w:eastAsia="仿宋" w:cs="仿宋"/>
          <w:sz w:val="32"/>
          <w:szCs w:val="32"/>
        </w:rPr>
        <w:t>我单位2021年度政务公开工作仍存在一些不足：一是其他文件解读较少且形式单一。2021年度我局对文件进行解读较少，且解读形式多为文字解读，缺乏解读的生动性和可理解性；</w:t>
      </w:r>
      <w:r>
        <w:rPr>
          <w:rFonts w:hint="eastAsia" w:ascii="仿宋" w:hAnsi="仿宋" w:eastAsia="仿宋" w:cs="仿宋"/>
          <w:color w:val="000000"/>
          <w:sz w:val="32"/>
          <w:szCs w:val="32"/>
        </w:rPr>
        <w:t>二是消费预警提示发布不及时，多为集中消费节点前两天进行发布。</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firstLine="640"/>
        <w:jc w:val="left"/>
        <w:textAlignment w:val="auto"/>
        <w:rPr>
          <w:rFonts w:hint="default" w:ascii="Times New Roman" w:hAnsi="Times New Roman" w:cs="Times New Roman"/>
          <w:sz w:val="21"/>
          <w:szCs w:val="21"/>
        </w:rPr>
      </w:pPr>
      <w:r>
        <w:rPr>
          <w:rFonts w:hint="eastAsia" w:ascii="仿宋" w:hAnsi="仿宋" w:eastAsia="仿宋" w:cs="仿宋"/>
          <w:sz w:val="32"/>
          <w:szCs w:val="32"/>
        </w:rPr>
        <w:t>针对上述问题，我局将不断改进：一是加强其他文件的解读。及时与文件发布股室做好沟通，对其他文件进行详细解读，丰富解读形式；二是结合全年消费节点提前发布消费预警，并以多种形式进行展现。</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firstLine="640"/>
        <w:jc w:val="left"/>
        <w:textAlignment w:val="auto"/>
        <w:rPr>
          <w:rFonts w:hint="default" w:ascii="Times New Roman" w:hAnsi="Times New Roman" w:cs="Times New Roman"/>
          <w:sz w:val="21"/>
          <w:szCs w:val="21"/>
        </w:rPr>
      </w:pPr>
      <w:r>
        <w:rPr>
          <w:rFonts w:hint="eastAsia" w:ascii="黑体" w:hAnsi="宋体" w:eastAsia="黑体" w:cs="黑体"/>
          <w:sz w:val="32"/>
          <w:szCs w:val="32"/>
        </w:rPr>
        <w:t>六、其他需要报告的事项</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6" w:lineRule="exact"/>
        <w:ind w:left="0" w:right="0"/>
        <w:jc w:val="both"/>
        <w:textAlignment w:val="auto"/>
        <w:rPr>
          <w:rFonts w:hint="default" w:ascii="Times New Roman" w:hAnsi="Times New Roman" w:cs="Times New Roman"/>
          <w:sz w:val="21"/>
          <w:szCs w:val="21"/>
        </w:rPr>
      </w:pPr>
      <w:r>
        <w:rPr>
          <w:rFonts w:hint="eastAsia" w:ascii="仿宋" w:hAnsi="仿宋" w:eastAsia="仿宋" w:cs="仿宋"/>
          <w:color w:val="000000"/>
          <w:sz w:val="32"/>
          <w:szCs w:val="32"/>
        </w:rPr>
        <w:t>   按照《国务院办公厅关于印发</w:t>
      </w:r>
      <w:r>
        <w:rPr>
          <w:rFonts w:hint="default" w:ascii="Times New Roman" w:hAnsi="Times New Roman" w:eastAsia="仿宋" w:cs="Times New Roman"/>
          <w:color w:val="000000"/>
          <w:sz w:val="32"/>
          <w:szCs w:val="32"/>
        </w:rPr>
        <w:t>&lt;</w:t>
      </w:r>
      <w:r>
        <w:rPr>
          <w:rFonts w:hint="eastAsia" w:ascii="仿宋" w:hAnsi="仿宋" w:eastAsia="仿宋" w:cs="仿宋"/>
          <w:color w:val="000000"/>
          <w:sz w:val="32"/>
          <w:szCs w:val="32"/>
        </w:rPr>
        <w:t>政府信息公开信息处理费管理办法</w:t>
      </w:r>
      <w:r>
        <w:rPr>
          <w:rFonts w:hint="default" w:ascii="Times New Roman" w:hAnsi="Times New Roman" w:eastAsia="仿宋" w:cs="Times New Roman"/>
          <w:color w:val="000000"/>
          <w:sz w:val="32"/>
          <w:szCs w:val="32"/>
        </w:rPr>
        <w:t>&gt;</w:t>
      </w:r>
      <w:r>
        <w:rPr>
          <w:rFonts w:hint="eastAsia" w:ascii="仿宋" w:hAnsi="仿宋" w:eastAsia="仿宋" w:cs="仿宋"/>
          <w:color w:val="000000"/>
          <w:sz w:val="32"/>
          <w:szCs w:val="32"/>
        </w:rPr>
        <w:t>的通知》（国办函〔</w:t>
      </w:r>
      <w:r>
        <w:rPr>
          <w:rFonts w:hint="default" w:ascii="Times New Roman" w:hAnsi="Times New Roman" w:eastAsia="仿宋" w:cs="Times New Roman"/>
          <w:color w:val="000000"/>
          <w:sz w:val="32"/>
          <w:szCs w:val="32"/>
        </w:rPr>
        <w:t>2020</w:t>
      </w:r>
      <w:r>
        <w:rPr>
          <w:rFonts w:hint="eastAsia" w:ascii="仿宋" w:hAnsi="仿宋" w:eastAsia="仿宋" w:cs="仿宋"/>
          <w:color w:val="000000"/>
          <w:sz w:val="32"/>
          <w:szCs w:val="32"/>
        </w:rPr>
        <w:t>〕</w:t>
      </w:r>
      <w:r>
        <w:rPr>
          <w:rFonts w:hint="default" w:ascii="Times New Roman" w:hAnsi="Times New Roman" w:eastAsia="仿宋" w:cs="Times New Roman"/>
          <w:color w:val="000000"/>
          <w:sz w:val="32"/>
          <w:szCs w:val="32"/>
        </w:rPr>
        <w:t>109</w:t>
      </w:r>
      <w:r>
        <w:rPr>
          <w:rFonts w:hint="eastAsia" w:ascii="仿宋" w:hAnsi="仿宋" w:eastAsia="仿宋" w:cs="仿宋"/>
          <w:color w:val="000000"/>
          <w:sz w:val="32"/>
          <w:szCs w:val="32"/>
        </w:rPr>
        <w:t>号）规定的按件、按量收费标准，本年度没有产生信息公开处理费。</w:t>
      </w:r>
    </w:p>
    <w:p>
      <w:pPr>
        <w:keepNext w:val="0"/>
        <w:keepLines w:val="0"/>
        <w:pageBreakBefore w:val="0"/>
        <w:kinsoku/>
        <w:wordWrap/>
        <w:overflowPunct/>
        <w:topLinePunct w:val="0"/>
        <w:autoSpaceDE/>
        <w:autoSpaceDN/>
        <w:bidi w:val="0"/>
        <w:adjustRightInd w:val="0"/>
        <w:snapToGrid w:val="0"/>
        <w:spacing w:line="576"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ODViODRmMTBiNTcxMjgxMmQyMmU5NWM5NzJkOTcifQ=="/>
  </w:docVars>
  <w:rsids>
    <w:rsidRoot w:val="00000000"/>
    <w:rsid w:val="00936194"/>
    <w:rsid w:val="029779DF"/>
    <w:rsid w:val="041C3FA6"/>
    <w:rsid w:val="06D11EF1"/>
    <w:rsid w:val="07292CF6"/>
    <w:rsid w:val="07875F3B"/>
    <w:rsid w:val="0CC21C90"/>
    <w:rsid w:val="0D79544E"/>
    <w:rsid w:val="0F486ACE"/>
    <w:rsid w:val="10FF09AC"/>
    <w:rsid w:val="111579F6"/>
    <w:rsid w:val="114864F2"/>
    <w:rsid w:val="120027B6"/>
    <w:rsid w:val="145150D0"/>
    <w:rsid w:val="14EA50B5"/>
    <w:rsid w:val="155E177F"/>
    <w:rsid w:val="15C56389"/>
    <w:rsid w:val="16705F49"/>
    <w:rsid w:val="18BA61CA"/>
    <w:rsid w:val="1BB27CA2"/>
    <w:rsid w:val="1EC513B4"/>
    <w:rsid w:val="1EE43FB7"/>
    <w:rsid w:val="1F3B3394"/>
    <w:rsid w:val="1F564F4C"/>
    <w:rsid w:val="1FB13356"/>
    <w:rsid w:val="20585D01"/>
    <w:rsid w:val="208461F9"/>
    <w:rsid w:val="22916662"/>
    <w:rsid w:val="22E276E9"/>
    <w:rsid w:val="29170D56"/>
    <w:rsid w:val="297F4A27"/>
    <w:rsid w:val="2B6B2304"/>
    <w:rsid w:val="2D1A3A49"/>
    <w:rsid w:val="2D360A6D"/>
    <w:rsid w:val="2E4E10CC"/>
    <w:rsid w:val="2ED53BC8"/>
    <w:rsid w:val="2ED63866"/>
    <w:rsid w:val="35020EF3"/>
    <w:rsid w:val="363339C9"/>
    <w:rsid w:val="375C403D"/>
    <w:rsid w:val="37BD5F27"/>
    <w:rsid w:val="38FD5D3F"/>
    <w:rsid w:val="39E7513F"/>
    <w:rsid w:val="3A5A7999"/>
    <w:rsid w:val="3C9D08BE"/>
    <w:rsid w:val="3D743CC2"/>
    <w:rsid w:val="3DF9204E"/>
    <w:rsid w:val="3E8741A1"/>
    <w:rsid w:val="3E9D64D3"/>
    <w:rsid w:val="3EE01A2F"/>
    <w:rsid w:val="44872442"/>
    <w:rsid w:val="46BD7101"/>
    <w:rsid w:val="46F015AC"/>
    <w:rsid w:val="481334AE"/>
    <w:rsid w:val="494C4076"/>
    <w:rsid w:val="4BB80965"/>
    <w:rsid w:val="505D1556"/>
    <w:rsid w:val="5078447D"/>
    <w:rsid w:val="50B608C7"/>
    <w:rsid w:val="52BC47A8"/>
    <w:rsid w:val="533C28BF"/>
    <w:rsid w:val="5375791D"/>
    <w:rsid w:val="53A7479A"/>
    <w:rsid w:val="53F96F66"/>
    <w:rsid w:val="5499320F"/>
    <w:rsid w:val="551D576C"/>
    <w:rsid w:val="56985D82"/>
    <w:rsid w:val="57122706"/>
    <w:rsid w:val="59130B6D"/>
    <w:rsid w:val="5DBC5896"/>
    <w:rsid w:val="5E805982"/>
    <w:rsid w:val="5F621E2A"/>
    <w:rsid w:val="639D3B3D"/>
    <w:rsid w:val="647E7082"/>
    <w:rsid w:val="64F6220A"/>
    <w:rsid w:val="65D41B7A"/>
    <w:rsid w:val="66F75983"/>
    <w:rsid w:val="67901237"/>
    <w:rsid w:val="695009D8"/>
    <w:rsid w:val="69AA3652"/>
    <w:rsid w:val="6AAE6D2F"/>
    <w:rsid w:val="6AE64246"/>
    <w:rsid w:val="6C312E12"/>
    <w:rsid w:val="6D0525B4"/>
    <w:rsid w:val="6EA15D8B"/>
    <w:rsid w:val="710803F3"/>
    <w:rsid w:val="74C637FB"/>
    <w:rsid w:val="75C55695"/>
    <w:rsid w:val="784756DC"/>
    <w:rsid w:val="78950E55"/>
    <w:rsid w:val="79A23C1B"/>
    <w:rsid w:val="7CC36ACD"/>
    <w:rsid w:val="7CD65085"/>
    <w:rsid w:val="7F406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WPS_1622431491</cp:lastModifiedBy>
  <dcterms:modified xsi:type="dcterms:W3CDTF">2024-02-21T00:52:15Z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C40E6C5B7F6546AA98BAAC37671224A1</vt:lpwstr>
  </property>
</Properties>
</file>