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pacing w:val="8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pacing w:val="8"/>
          <w:sz w:val="44"/>
          <w:szCs w:val="44"/>
          <w:shd w:val="clear" w:color="auto" w:fill="FFFFFF"/>
          <w:lang w:eastAsia="zh-CN"/>
        </w:rPr>
        <w:t>安徽六安叶集经济开发区管理委员会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pacing w:val="8"/>
          <w:sz w:val="44"/>
          <w:szCs w:val="44"/>
          <w:shd w:val="clear" w:color="auto" w:fill="FFFFFF"/>
          <w:lang w:val="en-US" w:eastAsia="zh-CN"/>
        </w:rPr>
        <w:t>2022年政府信息公开工作年度报告</w:t>
      </w:r>
    </w:p>
    <w:p>
      <w:pPr>
        <w:adjustRightInd w:val="0"/>
        <w:spacing w:line="576" w:lineRule="exact"/>
        <w:ind w:firstLine="672" w:firstLineChars="200"/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ind w:firstLine="672" w:firstLineChars="200"/>
        <w:textAlignment w:val="auto"/>
        <w:rPr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本报告是根据《中华人民共和国政府信息公开条例》（国务院令第711号）以及其他上级文件要求，结合开发区实际撰写。报告内容包括：</w:t>
      </w:r>
      <w:r>
        <w:rPr>
          <w:rFonts w:hint="eastAsia" w:ascii="仿宋_GB2312" w:hAnsi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2022年度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总体情况，主动公开政府信息情况，收到和处理政府信息公开申请情况，政府信息公开行政复议、行政诉讼情况，</w:t>
      </w:r>
      <w:r>
        <w:rPr>
          <w:rFonts w:hint="eastAsia" w:ascii="仿宋_GB2312" w:hAnsi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政府信息公开工作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存在的主要问题及改进情况和其他需要报告的事项共六个部分。本报告中所列数据的统计期限自202</w:t>
      </w:r>
      <w:r>
        <w:rPr>
          <w:rFonts w:hint="eastAsia" w:ascii="仿宋_GB2312" w:hAnsi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年1月1日起至202</w:t>
      </w:r>
      <w:r>
        <w:rPr>
          <w:rFonts w:hint="eastAsia" w:ascii="仿宋_GB2312" w:hAnsi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年12月31日止。如对本报告有任何疑问，请与安徽六安叶集经济开发区管理委员会联系（地址：六安市叶集区中至信大道与香樟大道交口；邮编：237431；联系电话：0564-6457010）。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76" w:lineRule="exact"/>
        <w:ind w:left="0" w:leftChars="0" w:firstLine="640" w:firstLineChars="200"/>
        <w:textAlignment w:val="auto"/>
        <w:rPr>
          <w:rFonts w:ascii="Times New Roman" w:eastAsia="黑体"/>
        </w:rPr>
      </w:pPr>
      <w:r>
        <w:rPr>
          <w:rFonts w:hint="eastAsia" w:ascii="Times New Roman" w:eastAsia="黑体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开发区始终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坚持“以公开为常态、不公开为例外”，建立健全政务公开领导体制，完善工作机制，认真做好政府信息公开工作。2022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年开发区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主动公开信息217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条，依申请公开1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条；进一步强化政府信息管理、政府信息公开平台建设，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政府信息公开工作能力得到进一步提升。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（一）主动公开情况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开发区始终把不断优化营商环境，</w:t>
      </w:r>
      <w:r>
        <w:rPr>
          <w:rFonts w:hint="eastAsia" w:ascii="仿宋_GB2312" w:hAnsi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招大引强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，促进企业更好更快发展作为主责主业。在主动公开方面，持续加强主动公开，加大政策解读、政务舆情回应力度，及时更新</w:t>
      </w:r>
      <w:r>
        <w:rPr>
          <w:rFonts w:hint="eastAsia" w:ascii="仿宋_GB2312" w:hAnsi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政府信息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，为企业高质量发展注入更多政务服务动能。经梳理，截至12月31日，新增主动公开政府信息217条。其中包括：意见征集19条，财政资金13条，应急管理15条，招标采购47条，回应关切20条，监督保障24条等。根据省级部署，配合区</w:t>
      </w:r>
      <w:r>
        <w:rPr>
          <w:rFonts w:hint="eastAsia" w:ascii="仿宋_GB2312" w:hAnsi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政府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办开展规范性文件清理工作，调整规范性文件格式8条，并提供规范文本下载。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（二）依申请公开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开发区不断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推进依申请公开标准化规范化建设，规范工作流程，进一步建立健全登记、审核、办理、答复、归档等工作制度。2022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年，办理依申请公开件1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（三）政府信息管理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进一步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健全信息发布审核制度，严格执行发布审核流程，确定专人报送信息，先审查后公开。建立健全政府信息公开审查机制，按照公开的范围，明确审查的程序和责任，遵循公正、公平、合法、便民的原则。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及时、准确地公开政府信息，确保不发生泄密事件，做到“上网信息不涉密，涉密信息不上网”。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ind w:firstLine="672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（四）政府信息公开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一是进一步优化信息公开栏目，充实网站功能，强化动态更新，完善了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信息公开功能；二是认真做好本级政策解读，共解读6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条，解读质量有了进一步的提升。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（五）监督保障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一是为进一步规范和深化政府信息公开工作，不断健全完善工作制度，重新调整开发区政务公开领导小组；二是狠抓责任落实。年初制定《叶集经济开发区2022年度政务公开重点工作要点和分工》，将任务分解到责任科室，确保政务公开信息及时、高质、准确发布。三是加强政务信息公开自查，对每月、每季度检测报告中出现的问题按要求及时整改到位。</w:t>
      </w:r>
    </w:p>
    <w:p>
      <w:pPr>
        <w:pStyle w:val="3"/>
        <w:spacing w:after="0" w:line="576" w:lineRule="exact"/>
        <w:ind w:left="0" w:leftChars="0" w:firstLine="640" w:firstLineChars="200"/>
        <w:rPr>
          <w:rFonts w:ascii="Times New Roman" w:eastAsia="黑体"/>
        </w:rPr>
      </w:pPr>
      <w:r>
        <w:rPr>
          <w:rFonts w:hint="eastAsia" w:ascii="Times New Roman" w:eastAsia="黑体"/>
        </w:rPr>
        <w:t>二、主动公开政府信息情况</w:t>
      </w:r>
    </w:p>
    <w:tbl>
      <w:tblPr>
        <w:tblStyle w:val="5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74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3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3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 w:cs="宋体"/>
                <w:color w:val="000000"/>
                <w:kern w:val="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华文中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华文中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华文中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3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 w:cs="宋体"/>
                <w:color w:val="000000"/>
                <w:kern w:val="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华文中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华文中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华文中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740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3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3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华文中宋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740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3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3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 w:cs="宋体"/>
                <w:color w:val="000000"/>
                <w:kern w:val="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华文中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3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 w:cs="宋体"/>
                <w:color w:val="000000"/>
                <w:kern w:val="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华文中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740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3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3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华文中宋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</w:tbl>
    <w:p>
      <w:pPr>
        <w:pStyle w:val="3"/>
        <w:spacing w:after="0" w:line="576" w:lineRule="exact"/>
        <w:ind w:left="0" w:leftChars="0" w:firstLine="640" w:firstLineChars="200"/>
        <w:rPr>
          <w:rFonts w:ascii="Times New Roman" w:eastAsia="黑体"/>
        </w:rPr>
      </w:pPr>
      <w:r>
        <w:rPr>
          <w:rFonts w:hint="eastAsia" w:ascii="Times New Roman" w:eastAsia="黑体"/>
        </w:rPr>
        <w:t>三、收到和处理政府信息公开申请情况</w:t>
      </w:r>
    </w:p>
    <w:tbl>
      <w:tblPr>
        <w:tblStyle w:val="5"/>
        <w:tblW w:w="4914" w:type="pct"/>
        <w:tblInd w:w="15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808"/>
        <w:gridCol w:w="2686"/>
        <w:gridCol w:w="586"/>
        <w:gridCol w:w="598"/>
        <w:gridCol w:w="598"/>
        <w:gridCol w:w="598"/>
        <w:gridCol w:w="598"/>
        <w:gridCol w:w="598"/>
        <w:gridCol w:w="59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17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eastAsia="华文中宋" w:cs="楷体"/>
                <w:color w:val="000000"/>
                <w:kern w:val="0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20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17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590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自然人</w:t>
            </w:r>
          </w:p>
        </w:tc>
        <w:tc>
          <w:tcPr>
            <w:tcW w:w="301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法人或其他组织</w:t>
            </w:r>
          </w:p>
        </w:tc>
        <w:tc>
          <w:tcPr>
            <w:tcW w:w="602" w:type="dxa"/>
            <w:vMerge w:val="restart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17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60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商业</w:t>
            </w:r>
          </w:p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企业</w:t>
            </w:r>
          </w:p>
        </w:tc>
        <w:tc>
          <w:tcPr>
            <w:tcW w:w="60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科研</w:t>
            </w:r>
          </w:p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机构</w:t>
            </w:r>
          </w:p>
        </w:tc>
        <w:tc>
          <w:tcPr>
            <w:tcW w:w="602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社会公益组织</w:t>
            </w:r>
          </w:p>
        </w:tc>
        <w:tc>
          <w:tcPr>
            <w:tcW w:w="602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法律服务机构</w:t>
            </w:r>
          </w:p>
        </w:tc>
        <w:tc>
          <w:tcPr>
            <w:tcW w:w="602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602" w:type="dxa"/>
            <w:vMerge w:val="continue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17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华文中宋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华文中宋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华文中宋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华文中宋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华文中宋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华文中宋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华文中宋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17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华文中宋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华文中宋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华文中宋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华文中宋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华文中宋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华文中宋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华文中宋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0" w:type="dxa"/>
            <w:vMerge w:val="restart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三、本年度办理结果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（一）予以公开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华文中宋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华文中宋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华文中宋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华文中宋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华文中宋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华文中宋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华文中宋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（二）部分公开</w:t>
            </w:r>
            <w:r>
              <w:rPr>
                <w:rFonts w:hint="eastAsia" w:eastAsia="华文中宋" w:cs="楷体"/>
                <w:color w:val="000000"/>
                <w:kern w:val="0"/>
                <w:szCs w:val="21"/>
              </w:rPr>
              <w:t>（区分处理的，只计这一情形，不计其他情形）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华文中宋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华文中宋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华文中宋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华文中宋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华文中宋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华文中宋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华文中宋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1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（三）不予公开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1.属于国家秘密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华文中宋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1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2.其他法律行政法规禁止公开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1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3.危及“三安全一稳定”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华文中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华文中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华文中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华文中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华文中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华文中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华文中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1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4.保护第三方合法权益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华文中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华文中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华文中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华文中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华文中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华文中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华文中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1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5.属于三类内部事务信息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华文中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华文中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华文中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华文中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华文中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华文中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华文中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1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6.属于四类过程性信息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华文中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华文中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华文中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华文中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华文中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华文中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华文中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1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7.属于行政执法案卷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华文中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华文中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华文中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华文中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华文中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华文中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华文中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1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8.属于行政查询事项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华文中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华文中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华文中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华文中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华文中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华文中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华文中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1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（四）无法提供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1.本机关不掌握相关政府信息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1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2.没有现成信息需要另行制作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1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3.补正后申请内容仍不明确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1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（五）不予处理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1.信访举报投诉类申请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1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2.重复申请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1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3.要求提供公开出版物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1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4.无正当理由大量反复申请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1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2702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5.要求行政机关确认或重新出具已获取信息</w:t>
            </w:r>
          </w:p>
        </w:tc>
        <w:tc>
          <w:tcPr>
            <w:tcW w:w="590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13" w:type="dxa"/>
            <w:vMerge w:val="restart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（六）其他处理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13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813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3.其他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0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（七）总计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华文中宋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华文中宋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17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 w:cs="宋体"/>
                <w:color w:val="000000"/>
                <w:kern w:val="0"/>
                <w:szCs w:val="21"/>
              </w:rPr>
              <w:t>四、结转下年度继续办理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华文中宋"/>
                <w:color w:val="000000"/>
                <w:szCs w:val="21"/>
              </w:rPr>
            </w:pPr>
            <w:r>
              <w:rPr>
                <w:rFonts w:hint="eastAsia" w:eastAsia="华文中宋"/>
                <w:color w:val="000000"/>
                <w:szCs w:val="21"/>
                <w:lang w:val="en-US" w:eastAsia="zh-CN"/>
              </w:rPr>
              <w:t>0</w:t>
            </w:r>
          </w:p>
        </w:tc>
      </w:tr>
    </w:tbl>
    <w:p>
      <w:pPr>
        <w:pStyle w:val="3"/>
        <w:spacing w:after="0" w:line="576" w:lineRule="exact"/>
        <w:ind w:left="0" w:leftChars="0" w:firstLine="640" w:firstLineChars="200"/>
        <w:rPr>
          <w:rFonts w:ascii="Times New Roman" w:eastAsia="黑体"/>
        </w:rPr>
      </w:pPr>
      <w:r>
        <w:rPr>
          <w:rFonts w:hint="eastAsia" w:ascii="Times New Roman" w:eastAsia="黑体"/>
        </w:rPr>
        <w:t>四、政府信息公开行政复议、行政诉讼情况</w:t>
      </w:r>
    </w:p>
    <w:tbl>
      <w:tblPr>
        <w:tblStyle w:val="5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547"/>
        <w:gridCol w:w="547"/>
        <w:gridCol w:w="547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0" w:type="auto"/>
            <w:gridSpan w:val="5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w w:val="85"/>
                <w:szCs w:val="21"/>
              </w:rPr>
            </w:pPr>
            <w:r>
              <w:rPr>
                <w:rFonts w:hint="eastAsia" w:eastAsia="华文中宋" w:cs="宋体"/>
                <w:color w:val="000000"/>
                <w:w w:val="85"/>
                <w:kern w:val="0"/>
                <w:szCs w:val="21"/>
              </w:rPr>
              <w:t>行政复议</w:t>
            </w:r>
          </w:p>
        </w:tc>
        <w:tc>
          <w:tcPr>
            <w:tcW w:w="5479" w:type="dxa"/>
            <w:gridSpan w:val="10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w w:val="85"/>
                <w:szCs w:val="21"/>
              </w:rPr>
            </w:pPr>
            <w:r>
              <w:rPr>
                <w:rFonts w:hint="eastAsia" w:eastAsia="华文中宋" w:cs="宋体"/>
                <w:color w:val="000000"/>
                <w:w w:val="85"/>
                <w:kern w:val="0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0" w:type="auto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w w:val="85"/>
                <w:szCs w:val="21"/>
              </w:rPr>
            </w:pPr>
            <w:r>
              <w:rPr>
                <w:rFonts w:hint="eastAsia" w:eastAsia="华文中宋" w:cs="宋体"/>
                <w:color w:val="000000"/>
                <w:w w:val="85"/>
                <w:kern w:val="0"/>
                <w:szCs w:val="21"/>
              </w:rPr>
              <w:t>结果维持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华文中宋" w:cs="宋体"/>
                <w:color w:val="000000"/>
                <w:w w:val="85"/>
                <w:kern w:val="0"/>
                <w:szCs w:val="21"/>
                <w:lang w:eastAsia="zh-CN"/>
              </w:rPr>
            </w:pPr>
            <w:r>
              <w:rPr>
                <w:rFonts w:hint="eastAsia" w:eastAsia="华文中宋" w:cs="宋体"/>
                <w:color w:val="000000"/>
                <w:w w:val="85"/>
                <w:kern w:val="0"/>
                <w:szCs w:val="21"/>
              </w:rPr>
              <w:t>结果</w:t>
            </w:r>
          </w:p>
          <w:p>
            <w:pPr>
              <w:widowControl/>
              <w:jc w:val="center"/>
              <w:rPr>
                <w:rFonts w:eastAsia="华文中宋"/>
                <w:color w:val="000000"/>
                <w:w w:val="85"/>
                <w:szCs w:val="21"/>
              </w:rPr>
            </w:pPr>
            <w:r>
              <w:rPr>
                <w:rFonts w:hint="eastAsia" w:eastAsia="华文中宋" w:cs="宋体"/>
                <w:color w:val="000000"/>
                <w:w w:val="85"/>
                <w:kern w:val="0"/>
                <w:szCs w:val="21"/>
              </w:rPr>
              <w:t>纠正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华文中宋" w:cs="宋体"/>
                <w:color w:val="000000"/>
                <w:w w:val="85"/>
                <w:kern w:val="0"/>
                <w:szCs w:val="21"/>
                <w:lang w:eastAsia="zh-CN"/>
              </w:rPr>
            </w:pPr>
            <w:r>
              <w:rPr>
                <w:rFonts w:hint="eastAsia" w:eastAsia="华文中宋" w:cs="宋体"/>
                <w:color w:val="000000"/>
                <w:w w:val="85"/>
                <w:kern w:val="0"/>
                <w:szCs w:val="21"/>
              </w:rPr>
              <w:t>其他</w:t>
            </w:r>
          </w:p>
          <w:p>
            <w:pPr>
              <w:widowControl/>
              <w:jc w:val="center"/>
              <w:rPr>
                <w:rFonts w:eastAsia="华文中宋"/>
                <w:color w:val="000000"/>
                <w:w w:val="85"/>
                <w:szCs w:val="21"/>
              </w:rPr>
            </w:pPr>
            <w:r>
              <w:rPr>
                <w:rFonts w:hint="eastAsia" w:eastAsia="华文中宋" w:cs="宋体"/>
                <w:color w:val="000000"/>
                <w:w w:val="85"/>
                <w:kern w:val="0"/>
                <w:szCs w:val="21"/>
              </w:rPr>
              <w:t>结果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华文中宋" w:cs="宋体"/>
                <w:color w:val="000000"/>
                <w:w w:val="85"/>
                <w:kern w:val="0"/>
                <w:szCs w:val="21"/>
                <w:lang w:eastAsia="zh-CN"/>
              </w:rPr>
            </w:pPr>
            <w:r>
              <w:rPr>
                <w:rFonts w:hint="eastAsia" w:eastAsia="华文中宋" w:cs="宋体"/>
                <w:color w:val="000000"/>
                <w:w w:val="85"/>
                <w:kern w:val="0"/>
                <w:szCs w:val="21"/>
              </w:rPr>
              <w:t>尚未</w:t>
            </w:r>
          </w:p>
          <w:p>
            <w:pPr>
              <w:widowControl/>
              <w:jc w:val="center"/>
              <w:rPr>
                <w:rFonts w:eastAsia="华文中宋"/>
                <w:color w:val="000000"/>
                <w:w w:val="85"/>
                <w:szCs w:val="21"/>
              </w:rPr>
            </w:pPr>
            <w:r>
              <w:rPr>
                <w:rFonts w:hint="eastAsia" w:eastAsia="华文中宋" w:cs="宋体"/>
                <w:color w:val="000000"/>
                <w:w w:val="85"/>
                <w:kern w:val="0"/>
                <w:szCs w:val="21"/>
              </w:rPr>
              <w:t>审结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w w:val="85"/>
                <w:szCs w:val="21"/>
              </w:rPr>
            </w:pPr>
            <w:r>
              <w:rPr>
                <w:rFonts w:hint="eastAsia" w:eastAsia="华文中宋" w:cs="宋体"/>
                <w:color w:val="000000"/>
                <w:w w:val="85"/>
                <w:kern w:val="0"/>
                <w:szCs w:val="21"/>
              </w:rPr>
              <w:t>总计</w:t>
            </w:r>
          </w:p>
        </w:tc>
        <w:tc>
          <w:tcPr>
            <w:tcW w:w="0" w:type="auto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w w:val="85"/>
                <w:szCs w:val="21"/>
              </w:rPr>
            </w:pPr>
            <w:r>
              <w:rPr>
                <w:rFonts w:hint="eastAsia" w:eastAsia="华文中宋" w:cs="宋体"/>
                <w:color w:val="000000"/>
                <w:w w:val="85"/>
                <w:kern w:val="0"/>
                <w:szCs w:val="21"/>
              </w:rPr>
              <w:t>未经复议直接起诉</w:t>
            </w:r>
          </w:p>
        </w:tc>
        <w:tc>
          <w:tcPr>
            <w:tcW w:w="273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w w:val="85"/>
                <w:szCs w:val="21"/>
              </w:rPr>
            </w:pPr>
            <w:r>
              <w:rPr>
                <w:rFonts w:hint="eastAsia" w:eastAsia="华文中宋" w:cs="宋体"/>
                <w:color w:val="000000"/>
                <w:w w:val="85"/>
                <w:kern w:val="0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华文中宋"/>
                <w:color w:val="000000"/>
                <w:w w:val="85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华文中宋"/>
                <w:color w:val="000000"/>
                <w:w w:val="85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华文中宋"/>
                <w:color w:val="000000"/>
                <w:w w:val="85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华文中宋"/>
                <w:color w:val="000000"/>
                <w:w w:val="85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华文中宋"/>
                <w:color w:val="000000"/>
                <w:w w:val="85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华文中宋" w:cs="宋体"/>
                <w:color w:val="000000"/>
                <w:w w:val="85"/>
                <w:kern w:val="0"/>
                <w:szCs w:val="21"/>
                <w:lang w:eastAsia="zh-CN"/>
              </w:rPr>
            </w:pPr>
            <w:r>
              <w:rPr>
                <w:rFonts w:hint="eastAsia" w:eastAsia="华文中宋" w:cs="宋体"/>
                <w:color w:val="000000"/>
                <w:w w:val="85"/>
                <w:kern w:val="0"/>
                <w:szCs w:val="21"/>
              </w:rPr>
              <w:t>结果</w:t>
            </w:r>
          </w:p>
          <w:p>
            <w:pPr>
              <w:widowControl/>
              <w:jc w:val="center"/>
              <w:rPr>
                <w:rFonts w:eastAsia="华文中宋"/>
                <w:color w:val="000000"/>
                <w:w w:val="85"/>
                <w:szCs w:val="21"/>
              </w:rPr>
            </w:pPr>
            <w:r>
              <w:rPr>
                <w:rFonts w:hint="eastAsia" w:eastAsia="华文中宋" w:cs="宋体"/>
                <w:color w:val="000000"/>
                <w:w w:val="85"/>
                <w:kern w:val="0"/>
                <w:szCs w:val="21"/>
              </w:rPr>
              <w:t>维持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w w:val="85"/>
                <w:szCs w:val="21"/>
                <w:lang w:eastAsia="zh-CN"/>
              </w:rPr>
            </w:pPr>
            <w:r>
              <w:rPr>
                <w:rFonts w:hint="eastAsia" w:ascii="Times New Roman" w:hAnsi="Times New Roman" w:eastAsia="华文中宋" w:cs="Times New Roman"/>
                <w:color w:val="000000"/>
                <w:w w:val="85"/>
                <w:szCs w:val="21"/>
              </w:rPr>
              <w:t>结果</w:t>
            </w:r>
          </w:p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w w:val="85"/>
                <w:szCs w:val="21"/>
              </w:rPr>
            </w:pPr>
            <w:r>
              <w:rPr>
                <w:rFonts w:hint="eastAsia" w:ascii="Times New Roman" w:hAnsi="Times New Roman" w:eastAsia="华文中宋" w:cs="Times New Roman"/>
                <w:color w:val="000000"/>
                <w:w w:val="85"/>
                <w:szCs w:val="21"/>
              </w:rPr>
              <w:t>纠正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w w:val="85"/>
                <w:szCs w:val="21"/>
                <w:lang w:eastAsia="zh-CN"/>
              </w:rPr>
            </w:pPr>
            <w:r>
              <w:rPr>
                <w:rFonts w:hint="eastAsia" w:ascii="Times New Roman" w:hAnsi="Times New Roman" w:eastAsia="华文中宋" w:cs="Times New Roman"/>
                <w:color w:val="000000"/>
                <w:w w:val="85"/>
                <w:szCs w:val="21"/>
              </w:rPr>
              <w:t>其他</w:t>
            </w:r>
          </w:p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w w:val="85"/>
                <w:szCs w:val="21"/>
              </w:rPr>
            </w:pPr>
            <w:r>
              <w:rPr>
                <w:rFonts w:hint="eastAsia" w:ascii="Times New Roman" w:hAnsi="Times New Roman" w:eastAsia="华文中宋" w:cs="Times New Roman"/>
                <w:color w:val="000000"/>
                <w:w w:val="85"/>
                <w:szCs w:val="21"/>
              </w:rPr>
              <w:t>结果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w w:val="85"/>
                <w:szCs w:val="21"/>
                <w:lang w:eastAsia="zh-CN"/>
              </w:rPr>
            </w:pPr>
            <w:r>
              <w:rPr>
                <w:rFonts w:hint="eastAsia" w:ascii="Times New Roman" w:hAnsi="Times New Roman" w:eastAsia="华文中宋" w:cs="Times New Roman"/>
                <w:color w:val="000000"/>
                <w:w w:val="85"/>
                <w:szCs w:val="21"/>
              </w:rPr>
              <w:t>尚未</w:t>
            </w:r>
          </w:p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w w:val="85"/>
                <w:szCs w:val="21"/>
              </w:rPr>
            </w:pPr>
            <w:r>
              <w:rPr>
                <w:rFonts w:hint="eastAsia" w:ascii="Times New Roman" w:hAnsi="Times New Roman" w:eastAsia="华文中宋" w:cs="Times New Roman"/>
                <w:color w:val="000000"/>
                <w:w w:val="85"/>
                <w:szCs w:val="21"/>
              </w:rPr>
              <w:t>审结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w w:val="85"/>
                <w:szCs w:val="21"/>
              </w:rPr>
            </w:pPr>
            <w:r>
              <w:rPr>
                <w:rFonts w:hint="eastAsia" w:ascii="Times New Roman" w:hAnsi="Times New Roman" w:eastAsia="华文中宋" w:cs="Times New Roman"/>
                <w:color w:val="000000"/>
                <w:w w:val="85"/>
                <w:szCs w:val="21"/>
              </w:rPr>
              <w:t>总计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w w:val="85"/>
                <w:szCs w:val="21"/>
                <w:lang w:eastAsia="zh-CN"/>
              </w:rPr>
            </w:pPr>
            <w:r>
              <w:rPr>
                <w:rFonts w:hint="eastAsia" w:ascii="Times New Roman" w:hAnsi="Times New Roman" w:eastAsia="华文中宋" w:cs="Times New Roman"/>
                <w:color w:val="000000"/>
                <w:w w:val="85"/>
                <w:szCs w:val="21"/>
              </w:rPr>
              <w:t>结果</w:t>
            </w:r>
          </w:p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w w:val="85"/>
                <w:szCs w:val="21"/>
              </w:rPr>
            </w:pPr>
            <w:r>
              <w:rPr>
                <w:rFonts w:hint="eastAsia" w:ascii="Times New Roman" w:hAnsi="Times New Roman" w:eastAsia="华文中宋" w:cs="Times New Roman"/>
                <w:color w:val="000000"/>
                <w:w w:val="85"/>
                <w:szCs w:val="21"/>
              </w:rPr>
              <w:t>维持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w w:val="85"/>
                <w:szCs w:val="21"/>
                <w:lang w:eastAsia="zh-CN"/>
              </w:rPr>
            </w:pPr>
            <w:r>
              <w:rPr>
                <w:rFonts w:hint="eastAsia" w:ascii="Times New Roman" w:hAnsi="Times New Roman" w:eastAsia="华文中宋" w:cs="Times New Roman"/>
                <w:color w:val="000000"/>
                <w:w w:val="85"/>
                <w:szCs w:val="21"/>
              </w:rPr>
              <w:t>结果</w:t>
            </w:r>
          </w:p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w w:val="85"/>
                <w:szCs w:val="21"/>
              </w:rPr>
            </w:pPr>
            <w:r>
              <w:rPr>
                <w:rFonts w:hint="eastAsia" w:ascii="Times New Roman" w:hAnsi="Times New Roman" w:eastAsia="华文中宋" w:cs="Times New Roman"/>
                <w:color w:val="000000"/>
                <w:w w:val="85"/>
                <w:szCs w:val="21"/>
              </w:rPr>
              <w:t>纠正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w w:val="85"/>
                <w:szCs w:val="21"/>
                <w:lang w:eastAsia="zh-CN"/>
              </w:rPr>
            </w:pPr>
            <w:r>
              <w:rPr>
                <w:rFonts w:hint="eastAsia" w:ascii="Times New Roman" w:hAnsi="Times New Roman" w:eastAsia="华文中宋" w:cs="Times New Roman"/>
                <w:color w:val="000000"/>
                <w:w w:val="85"/>
                <w:szCs w:val="21"/>
              </w:rPr>
              <w:t>其他</w:t>
            </w:r>
          </w:p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w w:val="85"/>
                <w:szCs w:val="21"/>
              </w:rPr>
            </w:pPr>
            <w:r>
              <w:rPr>
                <w:rFonts w:hint="eastAsia" w:ascii="Times New Roman" w:hAnsi="Times New Roman" w:eastAsia="华文中宋" w:cs="Times New Roman"/>
                <w:color w:val="000000"/>
                <w:w w:val="85"/>
                <w:szCs w:val="21"/>
              </w:rPr>
              <w:t>结果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w w:val="85"/>
                <w:szCs w:val="21"/>
                <w:lang w:eastAsia="zh-CN"/>
              </w:rPr>
            </w:pPr>
            <w:r>
              <w:rPr>
                <w:rFonts w:hint="eastAsia" w:ascii="Times New Roman" w:hAnsi="Times New Roman" w:eastAsia="华文中宋" w:cs="Times New Roman"/>
                <w:color w:val="000000"/>
                <w:w w:val="85"/>
                <w:szCs w:val="21"/>
              </w:rPr>
              <w:t>尚未</w:t>
            </w:r>
          </w:p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/>
                <w:w w:val="85"/>
                <w:szCs w:val="21"/>
              </w:rPr>
            </w:pPr>
            <w:r>
              <w:rPr>
                <w:rFonts w:hint="eastAsia" w:ascii="Times New Roman" w:hAnsi="Times New Roman" w:eastAsia="华文中宋" w:cs="Times New Roman"/>
                <w:color w:val="000000"/>
                <w:w w:val="85"/>
                <w:szCs w:val="21"/>
              </w:rPr>
              <w:t>审结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color w:val="000000"/>
                <w:w w:val="85"/>
                <w:szCs w:val="21"/>
              </w:rPr>
            </w:pPr>
            <w:r>
              <w:rPr>
                <w:rFonts w:hint="eastAsia" w:eastAsia="华文中宋" w:cs="宋体"/>
                <w:color w:val="000000"/>
                <w:w w:val="85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9" w:hRule="atLeast"/>
        </w:trPr>
        <w:tc>
          <w:tcPr>
            <w:tcW w:w="0" w:type="auto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华文中宋"/>
                <w:color w:val="000000"/>
                <w:w w:val="85"/>
                <w:szCs w:val="21"/>
                <w:lang w:val="en-US" w:eastAsia="zh-CN"/>
              </w:rPr>
            </w:pPr>
            <w:r>
              <w:rPr>
                <w:rFonts w:hint="eastAsia" w:eastAsia="华文中宋"/>
                <w:color w:val="000000"/>
                <w:w w:val="85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华文中宋"/>
                <w:color w:val="000000"/>
                <w:w w:val="85"/>
                <w:szCs w:val="21"/>
                <w:lang w:val="en-US" w:eastAsia="zh-CN"/>
              </w:rPr>
            </w:pPr>
            <w:r>
              <w:rPr>
                <w:rFonts w:hint="eastAsia" w:eastAsia="华文中宋"/>
                <w:color w:val="000000"/>
                <w:w w:val="85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华文中宋"/>
                <w:color w:val="000000"/>
                <w:w w:val="85"/>
                <w:szCs w:val="21"/>
                <w:lang w:val="en-US" w:eastAsia="zh-CN"/>
              </w:rPr>
            </w:pPr>
            <w:r>
              <w:rPr>
                <w:rFonts w:hint="eastAsia" w:eastAsia="华文中宋"/>
                <w:color w:val="000000"/>
                <w:w w:val="85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华文中宋"/>
                <w:color w:val="000000"/>
                <w:w w:val="85"/>
                <w:szCs w:val="21"/>
                <w:lang w:val="en-US" w:eastAsia="zh-CN"/>
              </w:rPr>
            </w:pPr>
            <w:r>
              <w:rPr>
                <w:rFonts w:hint="eastAsia" w:eastAsia="华文中宋"/>
                <w:color w:val="000000"/>
                <w:w w:val="85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华文中宋"/>
                <w:color w:val="000000"/>
                <w:w w:val="85"/>
                <w:szCs w:val="21"/>
                <w:lang w:val="en-US" w:eastAsia="zh-CN"/>
              </w:rPr>
            </w:pPr>
            <w:r>
              <w:rPr>
                <w:rFonts w:hint="eastAsia" w:eastAsia="华文中宋"/>
                <w:color w:val="000000"/>
                <w:w w:val="85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华文中宋"/>
                <w:color w:val="000000"/>
                <w:w w:val="85"/>
                <w:szCs w:val="21"/>
                <w:lang w:val="en-US" w:eastAsia="zh-CN"/>
              </w:rPr>
            </w:pPr>
            <w:r>
              <w:rPr>
                <w:rFonts w:hint="eastAsia" w:eastAsia="华文中宋"/>
                <w:color w:val="000000"/>
                <w:w w:val="85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w w:val="85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Times New Roman"/>
                <w:color w:val="000000"/>
                <w:w w:val="85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w w:val="85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Times New Roman"/>
                <w:color w:val="000000"/>
                <w:w w:val="85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w w:val="85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Times New Roman"/>
                <w:color w:val="000000"/>
                <w:w w:val="85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w w:val="85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Times New Roman"/>
                <w:color w:val="000000"/>
                <w:w w:val="85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w w:val="85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Times New Roman"/>
                <w:color w:val="000000"/>
                <w:w w:val="85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w w:val="85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Times New Roman"/>
                <w:color w:val="000000"/>
                <w:w w:val="85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w w:val="85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Times New Roman"/>
                <w:color w:val="000000"/>
                <w:w w:val="85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/>
                <w:w w:val="85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Times New Roman"/>
                <w:color w:val="000000"/>
                <w:w w:val="85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华文中宋"/>
                <w:color w:val="000000"/>
                <w:w w:val="85"/>
                <w:szCs w:val="21"/>
                <w:lang w:val="en-US" w:eastAsia="zh-CN"/>
              </w:rPr>
            </w:pPr>
            <w:r>
              <w:rPr>
                <w:rFonts w:hint="eastAsia" w:eastAsia="华文中宋"/>
                <w:color w:val="000000"/>
                <w:w w:val="85"/>
                <w:szCs w:val="21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after="0" w:line="576" w:lineRule="exact"/>
        <w:ind w:left="0" w:leftChars="0" w:firstLine="640" w:firstLineChars="200"/>
        <w:textAlignment w:val="auto"/>
        <w:rPr>
          <w:rFonts w:ascii="Times New Roman" w:eastAsia="黑体"/>
        </w:rPr>
      </w:pPr>
      <w:r>
        <w:rPr>
          <w:rFonts w:hint="eastAsia" w:ascii="Times New Roman" w:eastAsia="黑体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2022年，开发区虽然较好地完成了各项政府信息公开工作任务，但与政府信息公开的有关工作要求相比，还存在一些不足，主要表现在：一是个别科室对政府信息公开工作重要性认识不够、主动性不强，导致政府信息公开工作信息报送、公开不及时。二是本级政策解读中图片解读质量有待提高，解读质量不够高。三是信息公开的标准还不够高，内容不够全面。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ind w:firstLine="672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下一步，开发区将加强组织领导，</w:t>
      </w:r>
      <w:r>
        <w:rPr>
          <w:rFonts w:hint="eastAsia" w:ascii="仿宋_GB2312" w:hAnsi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全年重点工作要点进行划分，明确到各责任科室，确保每月、每季度各科室对应栏目信息保持更新；加大政策解读力度，开发多种解读手段，丰富解读形式；加强与</w:t>
      </w:r>
      <w:r>
        <w:rPr>
          <w:rFonts w:hint="eastAsia" w:ascii="仿宋_GB2312" w:hAnsi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区政府办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的联系，积极参加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政务培训，切实提高政务公开经办人员业务能力。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after="0" w:line="576" w:lineRule="exact"/>
        <w:ind w:left="0" w:leftChars="0" w:firstLine="640" w:firstLineChars="200"/>
        <w:textAlignment w:val="auto"/>
        <w:rPr>
          <w:rFonts w:hint="eastAsia" w:ascii="Times New Roman" w:eastAsia="黑体"/>
        </w:rPr>
      </w:pPr>
      <w:r>
        <w:rPr>
          <w:rFonts w:hint="eastAsia" w:ascii="Times New Roman" w:eastAsia="黑体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ind w:firstLine="672" w:firstLineChars="200"/>
        <w:textAlignment w:val="auto"/>
      </w:pPr>
      <w:r>
        <w:rPr>
          <w:rFonts w:hint="eastAsia" w:ascii="仿宋_GB2312" w:hAnsi="仿宋_GB2312" w:eastAsia="仿宋_GB2312" w:cs="仿宋_GB2312"/>
          <w:color w:val="000000" w:themeColor="text1"/>
          <w:spacing w:val="8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73856C8-A697-42C3-830A-35077DC8D9B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20656C6-42F4-4468-85F5-ED56E5952F3C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FBE891A7-5C4E-4E94-9477-FC0445596B76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81E01D0A-4705-420C-9337-09EDEB68A3C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8B9663E8-3F36-4775-8160-F6E43601C4D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4ZWMxMWZkM2MwYWVkMmFiZWY4NjZjODcwN2NjOWMifQ=="/>
  </w:docVars>
  <w:rsids>
    <w:rsidRoot w:val="66762210"/>
    <w:rsid w:val="003354BB"/>
    <w:rsid w:val="00E42AA5"/>
    <w:rsid w:val="02127CCF"/>
    <w:rsid w:val="02B77DFC"/>
    <w:rsid w:val="0556570D"/>
    <w:rsid w:val="076F2CB4"/>
    <w:rsid w:val="08DA7138"/>
    <w:rsid w:val="09120EBF"/>
    <w:rsid w:val="09D9754E"/>
    <w:rsid w:val="0CFA217C"/>
    <w:rsid w:val="0E845FC8"/>
    <w:rsid w:val="0FD1203C"/>
    <w:rsid w:val="10AB3168"/>
    <w:rsid w:val="10B459B3"/>
    <w:rsid w:val="113C0ACA"/>
    <w:rsid w:val="139525D9"/>
    <w:rsid w:val="150571E8"/>
    <w:rsid w:val="1A7623E3"/>
    <w:rsid w:val="1C3C01D8"/>
    <w:rsid w:val="1E256308"/>
    <w:rsid w:val="1E9055C1"/>
    <w:rsid w:val="22263DB5"/>
    <w:rsid w:val="23A1082E"/>
    <w:rsid w:val="23B64026"/>
    <w:rsid w:val="26120D23"/>
    <w:rsid w:val="28A30E9D"/>
    <w:rsid w:val="2D4F49D8"/>
    <w:rsid w:val="2F6D5D61"/>
    <w:rsid w:val="2F874D9F"/>
    <w:rsid w:val="30613832"/>
    <w:rsid w:val="31181CFC"/>
    <w:rsid w:val="32B23832"/>
    <w:rsid w:val="32DB2A32"/>
    <w:rsid w:val="347D120E"/>
    <w:rsid w:val="35D06B8C"/>
    <w:rsid w:val="36A62800"/>
    <w:rsid w:val="36D66410"/>
    <w:rsid w:val="36FF6BCA"/>
    <w:rsid w:val="38125312"/>
    <w:rsid w:val="39287D21"/>
    <w:rsid w:val="3BCE536B"/>
    <w:rsid w:val="3C3B050E"/>
    <w:rsid w:val="3C8B329A"/>
    <w:rsid w:val="3E591572"/>
    <w:rsid w:val="42A31D6D"/>
    <w:rsid w:val="437259B2"/>
    <w:rsid w:val="445826E4"/>
    <w:rsid w:val="471F2D4E"/>
    <w:rsid w:val="497B37DF"/>
    <w:rsid w:val="49A95959"/>
    <w:rsid w:val="49DA2F55"/>
    <w:rsid w:val="49DC31FF"/>
    <w:rsid w:val="4C454A64"/>
    <w:rsid w:val="4DF427F7"/>
    <w:rsid w:val="4DF75401"/>
    <w:rsid w:val="4E6B1AB1"/>
    <w:rsid w:val="4E81300C"/>
    <w:rsid w:val="520F2153"/>
    <w:rsid w:val="52522B44"/>
    <w:rsid w:val="52F874EB"/>
    <w:rsid w:val="532C0FE3"/>
    <w:rsid w:val="539A1243"/>
    <w:rsid w:val="55555857"/>
    <w:rsid w:val="5697709C"/>
    <w:rsid w:val="56AB3480"/>
    <w:rsid w:val="58514E35"/>
    <w:rsid w:val="5A7A4C6B"/>
    <w:rsid w:val="5BF154A0"/>
    <w:rsid w:val="5E4B01B3"/>
    <w:rsid w:val="5F614979"/>
    <w:rsid w:val="614E5143"/>
    <w:rsid w:val="621C264E"/>
    <w:rsid w:val="639A1BE6"/>
    <w:rsid w:val="659C2592"/>
    <w:rsid w:val="66762210"/>
    <w:rsid w:val="6891148D"/>
    <w:rsid w:val="6DDE1239"/>
    <w:rsid w:val="6DF66946"/>
    <w:rsid w:val="6E8C20AE"/>
    <w:rsid w:val="6F727E9F"/>
    <w:rsid w:val="720B0EEF"/>
    <w:rsid w:val="74E0380E"/>
    <w:rsid w:val="76D57F7C"/>
    <w:rsid w:val="79601D3F"/>
    <w:rsid w:val="7B445194"/>
    <w:rsid w:val="7B566C76"/>
    <w:rsid w:val="7D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仿宋_GB2312"/>
      <w:sz w:val="32"/>
      <w:szCs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2363</Words>
  <Characters>2443</Characters>
  <Lines>0</Lines>
  <Paragraphs>0</Paragraphs>
  <TotalTime>15</TotalTime>
  <ScaleCrop>false</ScaleCrop>
  <LinksUpToDate>false</LinksUpToDate>
  <CharactersWithSpaces>2450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2023-01-04T08:52:00Z</dcterms:created>
  <dc:creator>NTKO</dc:creator>
  <cp:lastModifiedBy>NTKO</cp:lastModifiedBy>
  <dcterms:modified xsi:type="dcterms:W3CDTF">2023-01-18T00:50:15Z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29F253C65DF04D5CBAB7B8A75C7DF615</vt:lpwstr>
  </property>
</Properties>
</file>