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center"/>
        <w:rPr>
          <w:rFonts w:eastAsia="方正小标宋简体"/>
          <w:sz w:val="44"/>
          <w:szCs w:val="44"/>
        </w:rPr>
      </w:pPr>
      <w:r>
        <w:rPr>
          <w:rFonts w:hint="eastAsia" w:eastAsia="方正小标宋简体"/>
          <w:sz w:val="44"/>
          <w:szCs w:val="44"/>
        </w:rPr>
        <w:t>六安市叶集区退役军人事务局202</w:t>
      </w:r>
      <w:r>
        <w:rPr>
          <w:rFonts w:hint="eastAsia" w:eastAsia="方正小标宋简体"/>
          <w:sz w:val="44"/>
          <w:szCs w:val="44"/>
          <w:lang w:val="en-US" w:eastAsia="zh-CN"/>
        </w:rPr>
        <w:t>2</w:t>
      </w:r>
      <w:r>
        <w:rPr>
          <w:rFonts w:hint="eastAsia" w:eastAsia="方正小标宋简体"/>
          <w:sz w:val="44"/>
          <w:szCs w:val="44"/>
        </w:rPr>
        <w:t>年政府信息公开工作年度报告</w:t>
      </w:r>
    </w:p>
    <w:p>
      <w:pPr>
        <w:widowControl/>
        <w:spacing w:line="576" w:lineRule="exact"/>
        <w:ind w:firstLine="640" w:firstLineChars="200"/>
        <w:jc w:val="left"/>
        <w:rPr>
          <w:sz w:val="32"/>
          <w:szCs w:val="32"/>
        </w:rPr>
      </w:pPr>
    </w:p>
    <w:p>
      <w:pPr>
        <w:pStyle w:val="3"/>
        <w:widowControl/>
        <w:spacing w:before="420" w:after="300" w:line="560" w:lineRule="exact"/>
        <w:ind w:firstLine="646"/>
        <w:rPr>
          <w:color w:val="0000FF"/>
          <w:kern w:val="2"/>
          <w:sz w:val="32"/>
          <w:szCs w:val="32"/>
        </w:rPr>
      </w:pPr>
      <w:r>
        <w:rPr>
          <w:rFonts w:hint="eastAsia" w:ascii="仿宋_GB2312" w:hAnsi="仿宋_GB2312" w:cs="仿宋_GB2312"/>
          <w:sz w:val="32"/>
          <w:szCs w:val="32"/>
        </w:rPr>
        <w:t>根据新修订《中华人民共和国政府信息公开条例》，（以下简称《条例》）以及上级有关文件精神等要求，编制本报告。全文包括总体情况、主动公开政府信息情况、收到和处理政府信息公开申请情况、政府信息公开行政复议、行政诉讼情况、存在的主要问题和改进情况和其他需要报告的事项。本年度报告中使用数据统计期限为202</w:t>
      </w:r>
      <w:r>
        <w:rPr>
          <w:rFonts w:hint="eastAsia" w:ascii="仿宋_GB2312" w:hAnsi="仿宋_GB2312" w:cs="仿宋_GB2312"/>
          <w:sz w:val="32"/>
          <w:szCs w:val="32"/>
          <w:lang w:val="en-US" w:eastAsia="zh-CN"/>
        </w:rPr>
        <w:t>2</w:t>
      </w:r>
      <w:r>
        <w:rPr>
          <w:rFonts w:hint="eastAsia" w:ascii="仿宋_GB2312" w:hAnsi="仿宋_GB2312" w:cs="仿宋_GB2312"/>
          <w:sz w:val="32"/>
          <w:szCs w:val="32"/>
        </w:rPr>
        <w:t>年1月1日至202</w:t>
      </w:r>
      <w:r>
        <w:rPr>
          <w:rFonts w:hint="eastAsia" w:ascii="仿宋_GB2312" w:hAnsi="仿宋_GB2312" w:cs="仿宋_GB2312"/>
          <w:sz w:val="32"/>
          <w:szCs w:val="32"/>
          <w:lang w:val="en-US" w:eastAsia="zh-CN"/>
        </w:rPr>
        <w:t>2</w:t>
      </w:r>
      <w:r>
        <w:rPr>
          <w:rFonts w:hint="eastAsia" w:ascii="仿宋_GB2312" w:hAnsi="仿宋_GB2312" w:cs="仿宋_GB2312"/>
          <w:sz w:val="32"/>
          <w:szCs w:val="32"/>
        </w:rPr>
        <w:t>年12月</w:t>
      </w:r>
      <w:r>
        <w:rPr>
          <w:rFonts w:hint="eastAsia" w:ascii="仿宋_GB2312" w:hAnsi="仿宋_GB2312" w:cs="仿宋_GB2312"/>
          <w:sz w:val="32"/>
          <w:szCs w:val="32"/>
          <w:lang w:val="en-US" w:eastAsia="zh-CN"/>
        </w:rPr>
        <w:t>31</w:t>
      </w:r>
      <w:r>
        <w:rPr>
          <w:rFonts w:hint="eastAsia" w:ascii="仿宋_GB2312" w:hAnsi="仿宋_GB2312" w:cs="仿宋_GB2312"/>
          <w:sz w:val="32"/>
          <w:szCs w:val="32"/>
        </w:rPr>
        <w:t>日，本年度报告电子版可在六安市叶集区退役军人事务局信息公开平台下载（https://www.ahyeji.gov.cn/public/content/24867760</w:t>
      </w:r>
      <w:bookmarkStart w:id="0" w:name="_GoBack"/>
      <w:bookmarkEnd w:id="0"/>
      <w:r>
        <w:rPr>
          <w:rFonts w:hint="eastAsia" w:ascii="仿宋_GB2312" w:hAnsi="仿宋_GB2312" w:cs="仿宋_GB2312"/>
          <w:sz w:val="32"/>
          <w:szCs w:val="32"/>
        </w:rPr>
        <w:t>）。如对本年度报告有疑问，请与六安市叶集区退役军人事务局联系（地址：叶集区文化广播电视中心103室；联系电话：0564-6496015）。</w:t>
      </w:r>
    </w:p>
    <w:p>
      <w:pPr>
        <w:pStyle w:val="3"/>
        <w:widowControl/>
        <w:spacing w:before="420" w:after="300" w:line="560" w:lineRule="exact"/>
        <w:ind w:firstLine="640" w:firstLineChars="200"/>
        <w:rPr>
          <w:rFonts w:eastAsia="黑体"/>
          <w:sz w:val="32"/>
          <w:szCs w:val="32"/>
        </w:rPr>
      </w:pPr>
      <w:r>
        <w:rPr>
          <w:rFonts w:hint="eastAsia" w:eastAsia="黑体"/>
          <w:sz w:val="32"/>
          <w:szCs w:val="32"/>
        </w:rPr>
        <w:t>一、总体情况</w:t>
      </w:r>
    </w:p>
    <w:p>
      <w:pPr>
        <w:widowControl/>
        <w:spacing w:line="576" w:lineRule="exact"/>
        <w:ind w:firstLine="640" w:firstLineChars="200"/>
        <w:jc w:val="left"/>
        <w:rPr>
          <w:sz w:val="32"/>
          <w:szCs w:val="32"/>
        </w:rPr>
      </w:pPr>
      <w:r>
        <w:rPr>
          <w:rFonts w:hint="eastAsia"/>
          <w:sz w:val="32"/>
          <w:szCs w:val="32"/>
        </w:rPr>
        <w:t>（一）</w:t>
      </w:r>
      <w:r>
        <w:rPr>
          <w:sz w:val="32"/>
          <w:szCs w:val="32"/>
        </w:rPr>
        <w:t>主动公开情况</w:t>
      </w:r>
    </w:p>
    <w:p>
      <w:pPr>
        <w:widowControl/>
        <w:spacing w:line="576" w:lineRule="exact"/>
        <w:ind w:firstLine="640" w:firstLineChars="200"/>
        <w:jc w:val="left"/>
        <w:rPr>
          <w:rFonts w:hint="eastAsia" w:ascii="仿宋_GB2312" w:hAnsi="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2022年，我局严格按照《政府信息公开条例》要求，以</w:t>
      </w:r>
      <w:r>
        <w:rPr>
          <w:rFonts w:hint="eastAsia" w:ascii="仿宋_GB2312" w:hAnsi="仿宋_GB2312" w:cs="仿宋_GB2312"/>
          <w:kern w:val="0"/>
          <w:sz w:val="32"/>
          <w:szCs w:val="32"/>
          <w:lang w:val="en-US" w:eastAsia="zh-CN" w:bidi="ar-SA"/>
        </w:rPr>
        <w:t>六安市叶集区人民政府网</w:t>
      </w:r>
      <w:r>
        <w:rPr>
          <w:rFonts w:hint="eastAsia" w:ascii="仿宋_GB2312" w:hAnsi="仿宋_GB2312" w:eastAsia="仿宋_GB2312" w:cs="仿宋_GB2312"/>
          <w:kern w:val="0"/>
          <w:sz w:val="32"/>
          <w:szCs w:val="32"/>
          <w:lang w:val="en-US" w:eastAsia="zh-CN" w:bidi="ar-SA"/>
        </w:rPr>
        <w:t>为主要载体，严格遵守政府信息公开基本原则及相关规定</w:t>
      </w:r>
      <w:r>
        <w:rPr>
          <w:rFonts w:hint="eastAsia" w:ascii="仿宋_GB2312" w:hAnsi="仿宋_GB2312" w:cs="仿宋_GB2312"/>
          <w:kern w:val="0"/>
          <w:sz w:val="32"/>
          <w:szCs w:val="32"/>
          <w:lang w:val="en-US" w:eastAsia="zh-CN" w:bidi="ar-SA"/>
        </w:rPr>
        <w:t>，</w:t>
      </w:r>
      <w:r>
        <w:rPr>
          <w:rFonts w:hint="eastAsia" w:ascii="仿宋_GB2312" w:hAnsi="仿宋_GB2312" w:eastAsia="仿宋_GB2312" w:cs="仿宋_GB2312"/>
          <w:kern w:val="0"/>
          <w:sz w:val="32"/>
          <w:szCs w:val="32"/>
          <w:lang w:val="en-US" w:eastAsia="zh-CN" w:bidi="ar-SA"/>
        </w:rPr>
        <w:t>结合退役军人事务信息政治性和保密性强等客观因素，在允许公开的范围内，坚持以积极主动公开为原则，切实保障全</w:t>
      </w:r>
      <w:r>
        <w:rPr>
          <w:rFonts w:hint="eastAsia" w:ascii="仿宋_GB2312" w:hAnsi="仿宋_GB2312" w:cs="仿宋_GB2312"/>
          <w:kern w:val="0"/>
          <w:sz w:val="32"/>
          <w:szCs w:val="32"/>
          <w:lang w:val="en-US" w:eastAsia="zh-CN" w:bidi="ar-SA"/>
        </w:rPr>
        <w:t>区</w:t>
      </w:r>
      <w:r>
        <w:rPr>
          <w:rFonts w:hint="eastAsia" w:ascii="仿宋_GB2312" w:hAnsi="仿宋_GB2312" w:eastAsia="仿宋_GB2312" w:cs="仿宋_GB2312"/>
          <w:kern w:val="0"/>
          <w:sz w:val="32"/>
          <w:szCs w:val="32"/>
          <w:lang w:val="en-US" w:eastAsia="zh-CN" w:bidi="ar-SA"/>
        </w:rPr>
        <w:t>退役军人和重点优抚对象的知情权、参与权和监督权。本年度，共公开政府信息3</w:t>
      </w:r>
      <w:r>
        <w:rPr>
          <w:rFonts w:hint="eastAsia" w:ascii="仿宋_GB2312" w:hAnsi="仿宋_GB2312" w:cs="仿宋_GB2312"/>
          <w:kern w:val="0"/>
          <w:sz w:val="32"/>
          <w:szCs w:val="32"/>
          <w:lang w:val="en-US" w:eastAsia="zh-CN" w:bidi="ar-SA"/>
        </w:rPr>
        <w:t>37</w:t>
      </w:r>
      <w:r>
        <w:rPr>
          <w:rFonts w:hint="eastAsia" w:ascii="仿宋_GB2312" w:hAnsi="仿宋_GB2312" w:eastAsia="仿宋_GB2312" w:cs="仿宋_GB2312"/>
          <w:kern w:val="0"/>
          <w:sz w:val="32"/>
          <w:szCs w:val="32"/>
          <w:lang w:val="en-US" w:eastAsia="zh-CN" w:bidi="ar-SA"/>
        </w:rPr>
        <w:t>条，其中</w:t>
      </w:r>
      <w:r>
        <w:rPr>
          <w:rFonts w:hint="eastAsia" w:ascii="仿宋_GB2312" w:hAnsi="仿宋_GB2312" w:cs="仿宋_GB2312"/>
          <w:kern w:val="0"/>
          <w:sz w:val="32"/>
          <w:szCs w:val="32"/>
          <w:lang w:val="en-US" w:eastAsia="zh-CN" w:bidi="ar-SA"/>
        </w:rPr>
        <w:t>优待抚恤资金信息</w:t>
      </w:r>
      <w:r>
        <w:rPr>
          <w:rFonts w:hint="eastAsia" w:ascii="仿宋_GB2312" w:hAnsi="仿宋_GB2312" w:eastAsia="仿宋_GB2312" w:cs="仿宋_GB2312"/>
          <w:kern w:val="0"/>
          <w:sz w:val="32"/>
          <w:szCs w:val="32"/>
          <w:lang w:val="en-US" w:eastAsia="zh-CN" w:bidi="ar-SA"/>
        </w:rPr>
        <w:t>12条、</w:t>
      </w:r>
      <w:r>
        <w:rPr>
          <w:rFonts w:hint="eastAsia" w:ascii="仿宋_GB2312" w:hAnsi="仿宋_GB2312" w:cs="仿宋_GB2312"/>
          <w:kern w:val="0"/>
          <w:sz w:val="32"/>
          <w:szCs w:val="32"/>
          <w:lang w:val="en-US" w:eastAsia="zh-CN" w:bidi="ar-SA"/>
        </w:rPr>
        <w:t>主动回应</w:t>
      </w:r>
      <w:r>
        <w:rPr>
          <w:rFonts w:hint="eastAsia" w:ascii="仿宋_GB2312" w:hAnsi="仿宋_GB2312" w:eastAsia="仿宋_GB2312" w:cs="仿宋_GB2312"/>
          <w:kern w:val="0"/>
          <w:sz w:val="32"/>
          <w:szCs w:val="32"/>
          <w:lang w:val="en-US" w:eastAsia="zh-CN" w:bidi="ar-SA"/>
        </w:rPr>
        <w:t>信息2</w:t>
      </w:r>
      <w:r>
        <w:rPr>
          <w:rFonts w:hint="eastAsia" w:ascii="仿宋_GB2312" w:hAnsi="仿宋_GB2312" w:cs="仿宋_GB2312"/>
          <w:kern w:val="0"/>
          <w:sz w:val="32"/>
          <w:szCs w:val="32"/>
          <w:lang w:val="en-US" w:eastAsia="zh-CN" w:bidi="ar-SA"/>
        </w:rPr>
        <w:t>1</w:t>
      </w:r>
      <w:r>
        <w:rPr>
          <w:rFonts w:hint="eastAsia" w:ascii="仿宋_GB2312" w:hAnsi="仿宋_GB2312" w:eastAsia="仿宋_GB2312" w:cs="仿宋_GB2312"/>
          <w:kern w:val="0"/>
          <w:sz w:val="32"/>
          <w:szCs w:val="32"/>
          <w:lang w:val="en-US" w:eastAsia="zh-CN" w:bidi="ar-SA"/>
        </w:rPr>
        <w:t>条、</w:t>
      </w:r>
      <w:r>
        <w:rPr>
          <w:rFonts w:hint="eastAsia" w:ascii="仿宋_GB2312" w:hAnsi="仿宋_GB2312" w:cs="仿宋_GB2312"/>
          <w:kern w:val="0"/>
          <w:sz w:val="32"/>
          <w:szCs w:val="32"/>
          <w:lang w:val="en-US" w:eastAsia="zh-CN" w:bidi="ar-SA"/>
        </w:rPr>
        <w:t>人力资源市场招聘</w:t>
      </w:r>
      <w:r>
        <w:rPr>
          <w:rFonts w:hint="eastAsia" w:ascii="仿宋_GB2312" w:hAnsi="仿宋_GB2312" w:eastAsia="仿宋_GB2312" w:cs="仿宋_GB2312"/>
          <w:kern w:val="0"/>
          <w:sz w:val="32"/>
          <w:szCs w:val="32"/>
          <w:lang w:val="en-US" w:eastAsia="zh-CN" w:bidi="ar-SA"/>
        </w:rPr>
        <w:t>信息</w:t>
      </w:r>
      <w:r>
        <w:rPr>
          <w:rFonts w:hint="eastAsia" w:ascii="仿宋_GB2312" w:hAnsi="仿宋_GB2312" w:cs="仿宋_GB2312"/>
          <w:kern w:val="0"/>
          <w:sz w:val="32"/>
          <w:szCs w:val="32"/>
          <w:lang w:val="en-US" w:eastAsia="zh-CN" w:bidi="ar-SA"/>
        </w:rPr>
        <w:t>1</w:t>
      </w:r>
      <w:r>
        <w:rPr>
          <w:rFonts w:hint="eastAsia" w:ascii="仿宋_GB2312" w:hAnsi="仿宋_GB2312" w:eastAsia="仿宋_GB2312" w:cs="仿宋_GB2312"/>
          <w:kern w:val="0"/>
          <w:sz w:val="32"/>
          <w:szCs w:val="32"/>
          <w:lang w:val="en-US" w:eastAsia="zh-CN" w:bidi="ar-SA"/>
        </w:rPr>
        <w:t>2条、</w:t>
      </w:r>
      <w:r>
        <w:rPr>
          <w:rFonts w:hint="eastAsia" w:ascii="仿宋_GB2312" w:hAnsi="仿宋_GB2312" w:cs="仿宋_GB2312"/>
          <w:kern w:val="0"/>
          <w:sz w:val="32"/>
          <w:szCs w:val="32"/>
          <w:lang w:val="en-US" w:eastAsia="zh-CN" w:bidi="ar-SA"/>
        </w:rPr>
        <w:t>工作开展与整改信息18条等</w:t>
      </w:r>
      <w:r>
        <w:rPr>
          <w:rFonts w:hint="eastAsia" w:ascii="仿宋_GB2312" w:hAnsi="仿宋_GB2312" w:eastAsia="仿宋_GB2312" w:cs="仿宋_GB2312"/>
          <w:kern w:val="0"/>
          <w:sz w:val="32"/>
          <w:szCs w:val="32"/>
          <w:lang w:val="en-US" w:eastAsia="zh-CN" w:bidi="ar-SA"/>
        </w:rPr>
        <w:t>。及时更新单位工作动态、政策法规等内容</w:t>
      </w:r>
      <w:r>
        <w:rPr>
          <w:rFonts w:hint="eastAsia" w:ascii="仿宋_GB2312" w:hAnsi="仿宋_GB2312" w:cs="仿宋_GB2312"/>
          <w:kern w:val="0"/>
          <w:sz w:val="32"/>
          <w:szCs w:val="32"/>
          <w:lang w:val="en-US" w:eastAsia="zh-CN" w:bidi="ar-SA"/>
        </w:rPr>
        <w:t>，认真做好信息发布工作，把握退役军人事务的特点、内涵，满足退役军人所需所急，围绕就业创业、权益维护、政策法规宣传等方面，服务退役军人明政策、知实情。</w:t>
      </w:r>
    </w:p>
    <w:p>
      <w:pPr>
        <w:widowControl/>
        <w:spacing w:line="576" w:lineRule="exact"/>
        <w:ind w:firstLine="640" w:firstLineChars="200"/>
        <w:jc w:val="left"/>
        <w:rPr>
          <w:sz w:val="32"/>
          <w:szCs w:val="32"/>
        </w:rPr>
      </w:pPr>
      <w:r>
        <w:rPr>
          <w:rFonts w:hint="eastAsia"/>
          <w:sz w:val="32"/>
          <w:szCs w:val="32"/>
        </w:rPr>
        <w:t>（二）</w:t>
      </w:r>
      <w:r>
        <w:rPr>
          <w:sz w:val="32"/>
          <w:szCs w:val="32"/>
        </w:rPr>
        <w:t>依申请公开</w:t>
      </w:r>
    </w:p>
    <w:p>
      <w:pPr>
        <w:widowControl/>
        <w:spacing w:line="576" w:lineRule="exact"/>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2022年我局未收到依申请公开政府信息，未发生因政府信息公开申请引发的行政复议和行政诉讼。</w:t>
      </w:r>
    </w:p>
    <w:p>
      <w:pPr>
        <w:widowControl/>
        <w:spacing w:line="576" w:lineRule="exact"/>
        <w:ind w:firstLine="640" w:firstLineChars="200"/>
        <w:jc w:val="left"/>
        <w:rPr>
          <w:sz w:val="32"/>
          <w:szCs w:val="32"/>
        </w:rPr>
      </w:pPr>
      <w:r>
        <w:rPr>
          <w:rFonts w:hint="eastAsia"/>
          <w:sz w:val="32"/>
          <w:szCs w:val="32"/>
        </w:rPr>
        <w:t>（三）政府信息管理</w:t>
      </w:r>
    </w:p>
    <w:p>
      <w:pPr>
        <w:pStyle w:val="3"/>
        <w:widowControl/>
        <w:spacing w:line="555" w:lineRule="atLeast"/>
        <w:ind w:firstLine="640" w:firstLineChars="200"/>
        <w:rPr>
          <w:rFonts w:hint="eastAsia" w:ascii="仿宋_GB2312" w:hAnsi="仿宋_GB2312" w:eastAsia="仿宋_GB2312" w:cs="仿宋_GB2312"/>
          <w:color w:val="FF0000"/>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一是围绕政府信息公开规范化、标准化建设目标，深化政府信息公开内容、规范政府信息公开流程、拓展政府信息公开形式等措施，不断提升政府信息公开工作实效。</w:t>
      </w:r>
      <w:r>
        <w:rPr>
          <w:rFonts w:hint="eastAsia" w:ascii="仿宋_GB2312" w:hAnsi="仿宋_GB2312" w:cs="仿宋_GB2312"/>
          <w:kern w:val="0"/>
          <w:sz w:val="32"/>
          <w:szCs w:val="32"/>
          <w:lang w:val="en-US" w:eastAsia="zh-CN" w:bidi="ar-SA"/>
        </w:rPr>
        <w:t>二是</w:t>
      </w:r>
      <w:r>
        <w:rPr>
          <w:rFonts w:hint="eastAsia" w:ascii="仿宋_GB2312" w:hAnsi="仿宋_GB2312" w:eastAsia="仿宋_GB2312" w:cs="仿宋_GB2312"/>
          <w:kern w:val="0"/>
          <w:sz w:val="32"/>
          <w:szCs w:val="32"/>
          <w:lang w:val="en-US" w:eastAsia="zh-CN" w:bidi="ar-SA"/>
        </w:rPr>
        <w:t>开展</w:t>
      </w:r>
      <w:r>
        <w:rPr>
          <w:rFonts w:hint="eastAsia" w:ascii="仿宋_GB2312" w:hAnsi="仿宋_GB2312" w:cs="仿宋_GB2312"/>
          <w:kern w:val="0"/>
          <w:sz w:val="32"/>
          <w:szCs w:val="32"/>
          <w:lang w:val="en-US" w:eastAsia="zh-CN" w:bidi="ar-SA"/>
        </w:rPr>
        <w:t>隐私排查</w:t>
      </w:r>
      <w:r>
        <w:rPr>
          <w:rFonts w:hint="eastAsia" w:ascii="仿宋_GB2312" w:hAnsi="仿宋_GB2312" w:eastAsia="仿宋_GB2312" w:cs="仿宋_GB2312"/>
          <w:kern w:val="0"/>
          <w:sz w:val="32"/>
          <w:szCs w:val="32"/>
          <w:lang w:val="en-US" w:eastAsia="zh-CN" w:bidi="ar-SA"/>
        </w:rPr>
        <w:t>工作，经排查我单位无信息公开可能涉及个人隐私发布的问题。</w:t>
      </w:r>
    </w:p>
    <w:p>
      <w:pPr>
        <w:spacing w:line="600" w:lineRule="exact"/>
        <w:ind w:firstLine="640" w:firstLineChars="200"/>
        <w:rPr>
          <w:sz w:val="32"/>
          <w:szCs w:val="32"/>
        </w:rPr>
      </w:pPr>
      <w:r>
        <w:rPr>
          <w:rFonts w:hint="eastAsia"/>
          <w:sz w:val="32"/>
          <w:szCs w:val="32"/>
        </w:rPr>
        <w:t>（四）政府信息公开平台建设情况</w:t>
      </w:r>
    </w:p>
    <w:p>
      <w:pPr>
        <w:pStyle w:val="3"/>
        <w:widowControl/>
        <w:spacing w:line="555" w:lineRule="atLeas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积极维护</w:t>
      </w:r>
      <w:r>
        <w:rPr>
          <w:rFonts w:hint="eastAsia" w:ascii="仿宋_GB2312" w:hAnsi="仿宋_GB2312" w:cs="仿宋_GB2312"/>
          <w:kern w:val="0"/>
          <w:sz w:val="32"/>
          <w:szCs w:val="32"/>
          <w:lang w:val="en-US" w:eastAsia="zh-CN" w:bidi="ar-SA"/>
        </w:rPr>
        <w:t>政府网信息公开栏目</w:t>
      </w:r>
      <w:r>
        <w:rPr>
          <w:rFonts w:hint="eastAsia" w:ascii="仿宋_GB2312" w:hAnsi="仿宋_GB2312" w:eastAsia="仿宋_GB2312" w:cs="仿宋_GB2312"/>
          <w:kern w:val="0"/>
          <w:sz w:val="32"/>
          <w:szCs w:val="32"/>
          <w:lang w:val="en-US" w:eastAsia="zh-CN" w:bidi="ar-SA"/>
        </w:rPr>
        <w:t>，将政策依据、实时资讯、单位动态及时通过平台发布，落实政府信息公开工作，确保政府信息公开发布工作及时、准确，实现全领域、分别类、按主题。</w:t>
      </w:r>
    </w:p>
    <w:p>
      <w:pPr>
        <w:spacing w:line="600" w:lineRule="exact"/>
        <w:ind w:firstLine="640" w:firstLineChars="200"/>
        <w:rPr>
          <w:sz w:val="32"/>
          <w:szCs w:val="32"/>
        </w:rPr>
      </w:pPr>
      <w:r>
        <w:rPr>
          <w:rFonts w:hint="eastAsia"/>
          <w:sz w:val="32"/>
          <w:szCs w:val="32"/>
        </w:rPr>
        <w:t>（五）监督保障</w:t>
      </w:r>
    </w:p>
    <w:p>
      <w:pPr>
        <w:pStyle w:val="3"/>
        <w:widowControl/>
        <w:spacing w:line="555" w:lineRule="atLeast"/>
        <w:ind w:firstLine="640" w:firstLineChars="200"/>
        <w:rPr>
          <w:rFonts w:hint="eastAsia" w:ascii="仿宋_GB2312" w:hAnsi="仿宋_GB2312" w:eastAsia="仿宋_GB2312" w:cs="仿宋_GB2312"/>
          <w:color w:val="FF0000"/>
          <w:kern w:val="0"/>
          <w:sz w:val="32"/>
          <w:szCs w:val="32"/>
          <w:lang w:val="en-US" w:eastAsia="zh-CN" w:bidi="ar-SA"/>
        </w:rPr>
      </w:pPr>
      <w:r>
        <w:rPr>
          <w:rFonts w:hint="eastAsia" w:ascii="仿宋_GB2312" w:hAnsi="仿宋_GB2312" w:eastAsia="仿宋_GB2312" w:cs="仿宋_GB2312"/>
          <w:kern w:val="0"/>
          <w:sz w:val="32"/>
          <w:szCs w:val="32"/>
          <w:lang w:val="en-US" w:eastAsia="zh-CN" w:bidi="ar-SA"/>
        </w:rPr>
        <w:t>我局按照</w:t>
      </w:r>
      <w:r>
        <w:rPr>
          <w:rFonts w:hint="eastAsia" w:ascii="仿宋_GB2312" w:hAnsi="仿宋_GB2312" w:cs="仿宋_GB2312"/>
          <w:kern w:val="0"/>
          <w:sz w:val="32"/>
          <w:szCs w:val="32"/>
          <w:lang w:val="en-US" w:eastAsia="zh-CN" w:bidi="ar-SA"/>
        </w:rPr>
        <w:t>区委、区</w:t>
      </w:r>
      <w:r>
        <w:rPr>
          <w:rFonts w:hint="eastAsia" w:ascii="仿宋_GB2312" w:hAnsi="仿宋_GB2312" w:eastAsia="仿宋_GB2312" w:cs="仿宋_GB2312"/>
          <w:kern w:val="0"/>
          <w:sz w:val="32"/>
          <w:szCs w:val="32"/>
          <w:lang w:val="en-US" w:eastAsia="zh-CN" w:bidi="ar-SA"/>
        </w:rPr>
        <w:t>政府工作要求和部署，结合工作实际，进一步健全完善政府信息公开发布、审查等相关制度，定期开展检查督查，对检查发现的问题及时整改落实，推动信息公开工作规范有序开展。</w:t>
      </w:r>
      <w:r>
        <w:rPr>
          <w:rFonts w:hint="eastAsia" w:ascii="仿宋_GB2312" w:hAnsi="仿宋_GB2312" w:cs="仿宋_GB2312"/>
          <w:kern w:val="0"/>
          <w:sz w:val="32"/>
          <w:szCs w:val="32"/>
          <w:lang w:val="en-US" w:eastAsia="zh-CN" w:bidi="ar-SA"/>
        </w:rPr>
        <w:t>加强对政府信息公开工作的组织领导，及时调整专职工作人员，加强业务培训，提高业务能力。2022年信息公开排查整改14次，确保及时更新，上传全面、准确、优质的政府信息。</w:t>
      </w:r>
    </w:p>
    <w:p>
      <w:pPr>
        <w:pStyle w:val="2"/>
        <w:spacing w:after="0" w:line="576" w:lineRule="exact"/>
        <w:ind w:left="0" w:leftChars="0" w:firstLine="640" w:firstLineChars="200"/>
        <w:rPr>
          <w:rFonts w:ascii="Times New Roman" w:eastAsia="黑体"/>
        </w:rPr>
      </w:pPr>
      <w:r>
        <w:rPr>
          <w:rFonts w:hint="eastAsia" w:ascii="Times New Roman" w:eastAsia="黑体"/>
        </w:rPr>
        <w:t>二、主动公开政府信息情况</w:t>
      </w:r>
    </w:p>
    <w:tbl>
      <w:tblPr>
        <w:tblStyle w:val="4"/>
        <w:tblW w:w="5000" w:type="pct"/>
        <w:tblInd w:w="0" w:type="dxa"/>
        <w:tblLayout w:type="fixed"/>
        <w:tblCellMar>
          <w:top w:w="0" w:type="dxa"/>
          <w:left w:w="0" w:type="dxa"/>
          <w:bottom w:w="0" w:type="dxa"/>
          <w:right w:w="0" w:type="dxa"/>
        </w:tblCellMar>
      </w:tblPr>
      <w:tblGrid>
        <w:gridCol w:w="2105"/>
        <w:gridCol w:w="2105"/>
        <w:gridCol w:w="2105"/>
        <w:gridCol w:w="2105"/>
      </w:tblGrid>
      <w:tr>
        <w:tblPrEx>
          <w:tblCellMar>
            <w:top w:w="0" w:type="dxa"/>
            <w:left w:w="0" w:type="dxa"/>
            <w:bottom w:w="0" w:type="dxa"/>
            <w:right w:w="0" w:type="dxa"/>
          </w:tblCellMar>
        </w:tblPrEx>
        <w:trPr>
          <w:trHeight w:val="567" w:hRule="atLeast"/>
        </w:trPr>
        <w:tc>
          <w:tcPr>
            <w:tcW w:w="9740" w:type="dxa"/>
            <w:gridSpan w:val="4"/>
            <w:tcBorders>
              <w:top w:val="single" w:color="auto" w:sz="12" w:space="0"/>
              <w:left w:val="single" w:color="auto" w:sz="12" w:space="0"/>
              <w:bottom w:val="single" w:color="auto" w:sz="8" w:space="0"/>
              <w:right w:val="single" w:color="auto" w:sz="12" w:space="0"/>
            </w:tcBorders>
            <w:shd w:val="clear" w:color="auto" w:fill="C6D9F1"/>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第二十条第（一）项</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本年废止件数</w:t>
            </w:r>
          </w:p>
        </w:tc>
        <w:tc>
          <w:tcPr>
            <w:tcW w:w="2435" w:type="dxa"/>
            <w:tcBorders>
              <w:top w:val="single" w:color="auto" w:sz="8" w:space="0"/>
              <w:left w:val="nil"/>
              <w:bottom w:val="single" w:color="auto" w:sz="8" w:space="0"/>
              <w:right w:val="single" w:color="auto" w:sz="12" w:space="0"/>
            </w:tcBorders>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现行有效件数</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widowControl/>
              <w:jc w:val="center"/>
              <w:rPr>
                <w:rFonts w:eastAsia="华文中宋" w:cs="宋体"/>
                <w:color w:val="000000"/>
                <w:kern w:val="0"/>
                <w:szCs w:val="21"/>
              </w:rPr>
            </w:pPr>
            <w:r>
              <w:rPr>
                <w:rFonts w:hint="eastAsia" w:eastAsia="华文中宋" w:cs="宋体"/>
                <w:color w:val="000000"/>
                <w:kern w:val="0"/>
                <w:szCs w:val="21"/>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华文中宋" w:cs="宋体"/>
                <w:color w:val="000000"/>
                <w:kern w:val="0"/>
                <w:szCs w:val="21"/>
                <w:lang w:val="en-US" w:eastAsia="zh-CN"/>
              </w:rPr>
            </w:pPr>
            <w:r>
              <w:rPr>
                <w:rFonts w:hint="eastAsia" w:eastAsia="华文中宋" w:cs="宋体"/>
                <w:color w:val="000000"/>
                <w:kern w:val="0"/>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华文中宋" w:cs="宋体"/>
                <w:color w:val="000000"/>
                <w:kern w:val="0"/>
                <w:szCs w:val="21"/>
                <w:lang w:val="en-US" w:eastAsia="zh-CN"/>
              </w:rPr>
            </w:pPr>
            <w:r>
              <w:rPr>
                <w:rFonts w:hint="eastAsia" w:eastAsia="华文中宋" w:cs="宋体"/>
                <w:color w:val="000000"/>
                <w:kern w:val="0"/>
                <w:szCs w:val="21"/>
                <w:lang w:val="en-US" w:eastAsia="zh-CN"/>
              </w:rPr>
              <w:t>0</w:t>
            </w:r>
          </w:p>
        </w:tc>
        <w:tc>
          <w:tcPr>
            <w:tcW w:w="2435" w:type="dxa"/>
            <w:tcBorders>
              <w:top w:val="nil"/>
              <w:left w:val="nil"/>
              <w:bottom w:val="single" w:color="auto" w:sz="8" w:space="0"/>
              <w:right w:val="single" w:color="auto" w:sz="12" w:space="0"/>
            </w:tcBorders>
            <w:noWrap w:val="0"/>
            <w:tcMar>
              <w:left w:w="57" w:type="dxa"/>
              <w:right w:w="57" w:type="dxa"/>
            </w:tcMar>
            <w:vAlign w:val="center"/>
          </w:tcPr>
          <w:p>
            <w:pPr>
              <w:widowControl/>
              <w:jc w:val="center"/>
              <w:rPr>
                <w:rFonts w:hint="eastAsia" w:eastAsia="华文中宋" w:cs="宋体"/>
                <w:color w:val="000000"/>
                <w:kern w:val="0"/>
                <w:szCs w:val="21"/>
                <w:lang w:val="en-US" w:eastAsia="zh-CN"/>
              </w:rPr>
            </w:pPr>
            <w:r>
              <w:rPr>
                <w:rFonts w:hint="eastAsia" w:eastAsia="华文中宋" w:cs="宋体"/>
                <w:color w:val="000000"/>
                <w:kern w:val="0"/>
                <w:szCs w:val="21"/>
                <w:lang w:val="en-US" w:eastAsia="zh-CN"/>
              </w:rPr>
              <w:t>0</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widowControl/>
              <w:jc w:val="center"/>
              <w:rPr>
                <w:rFonts w:eastAsia="华文中宋" w:cs="宋体"/>
                <w:color w:val="000000"/>
                <w:kern w:val="0"/>
                <w:szCs w:val="21"/>
              </w:rPr>
            </w:pPr>
            <w:r>
              <w:rPr>
                <w:rFonts w:hint="eastAsia" w:eastAsia="华文中宋" w:cs="宋体"/>
                <w:color w:val="000000"/>
                <w:kern w:val="0"/>
                <w:szCs w:val="21"/>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华文中宋" w:cs="宋体"/>
                <w:color w:val="000000"/>
                <w:kern w:val="0"/>
                <w:szCs w:val="21"/>
                <w:lang w:val="en-US" w:eastAsia="zh-CN"/>
              </w:rPr>
            </w:pPr>
            <w:r>
              <w:rPr>
                <w:rFonts w:hint="eastAsia" w:eastAsia="华文中宋" w:cs="宋体"/>
                <w:color w:val="000000"/>
                <w:kern w:val="0"/>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华文中宋" w:cs="宋体"/>
                <w:color w:val="000000"/>
                <w:kern w:val="0"/>
                <w:szCs w:val="21"/>
                <w:lang w:val="en-US" w:eastAsia="zh-CN"/>
              </w:rPr>
            </w:pPr>
            <w:r>
              <w:rPr>
                <w:rFonts w:hint="eastAsia" w:eastAsia="华文中宋" w:cs="宋体"/>
                <w:color w:val="000000"/>
                <w:kern w:val="0"/>
                <w:szCs w:val="21"/>
                <w:lang w:val="en-US" w:eastAsia="zh-CN"/>
              </w:rPr>
              <w:t>0</w:t>
            </w:r>
          </w:p>
        </w:tc>
        <w:tc>
          <w:tcPr>
            <w:tcW w:w="2435" w:type="dxa"/>
            <w:tcBorders>
              <w:top w:val="nil"/>
              <w:left w:val="nil"/>
              <w:bottom w:val="single" w:color="auto" w:sz="8" w:space="0"/>
              <w:right w:val="single" w:color="auto" w:sz="12" w:space="0"/>
            </w:tcBorders>
            <w:noWrap w:val="0"/>
            <w:tcMar>
              <w:left w:w="57" w:type="dxa"/>
              <w:right w:w="57" w:type="dxa"/>
            </w:tcMar>
            <w:vAlign w:val="center"/>
          </w:tcPr>
          <w:p>
            <w:pPr>
              <w:widowControl/>
              <w:jc w:val="center"/>
              <w:rPr>
                <w:rFonts w:hint="eastAsia" w:eastAsia="华文中宋" w:cs="宋体"/>
                <w:color w:val="000000"/>
                <w:kern w:val="0"/>
                <w:szCs w:val="21"/>
                <w:lang w:val="en-US" w:eastAsia="zh-CN"/>
              </w:rPr>
            </w:pPr>
            <w:r>
              <w:rPr>
                <w:rFonts w:hint="eastAsia" w:eastAsia="华文中宋" w:cs="宋体"/>
                <w:color w:val="000000"/>
                <w:kern w:val="0"/>
                <w:szCs w:val="21"/>
                <w:lang w:val="en-US" w:eastAsia="zh-CN"/>
              </w:rPr>
              <w:t>0</w:t>
            </w:r>
          </w:p>
        </w:tc>
      </w:tr>
      <w:tr>
        <w:tblPrEx>
          <w:tblCellMar>
            <w:top w:w="0" w:type="dxa"/>
            <w:left w:w="0" w:type="dxa"/>
            <w:bottom w:w="0" w:type="dxa"/>
            <w:right w:w="0" w:type="dxa"/>
          </w:tblCellMar>
        </w:tblPrEx>
        <w:trPr>
          <w:trHeight w:val="567" w:hRule="atLeast"/>
        </w:trPr>
        <w:tc>
          <w:tcPr>
            <w:tcW w:w="9740" w:type="dxa"/>
            <w:gridSpan w:val="4"/>
            <w:tcBorders>
              <w:top w:val="nil"/>
              <w:left w:val="single" w:color="auto" w:sz="12" w:space="0"/>
              <w:bottom w:val="single" w:color="auto" w:sz="8" w:space="0"/>
              <w:right w:val="single" w:color="auto" w:sz="12" w:space="0"/>
            </w:tcBorders>
            <w:shd w:val="clear" w:color="auto" w:fill="C6D9F1"/>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第二十条第（五）项</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信息内容</w:t>
            </w:r>
          </w:p>
        </w:tc>
        <w:tc>
          <w:tcPr>
            <w:tcW w:w="7305" w:type="dxa"/>
            <w:gridSpan w:val="3"/>
            <w:tcBorders>
              <w:top w:val="nil"/>
              <w:left w:val="nil"/>
              <w:bottom w:val="single" w:color="auto" w:sz="8" w:space="0"/>
              <w:right w:val="single" w:color="auto" w:sz="12" w:space="0"/>
            </w:tcBorders>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本年处理决定数量</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行政许可</w:t>
            </w:r>
          </w:p>
        </w:tc>
        <w:tc>
          <w:tcPr>
            <w:tcW w:w="7305" w:type="dxa"/>
            <w:gridSpan w:val="3"/>
            <w:tcBorders>
              <w:top w:val="nil"/>
              <w:left w:val="nil"/>
              <w:bottom w:val="single" w:color="auto" w:sz="8" w:space="0"/>
              <w:right w:val="single" w:color="auto" w:sz="12" w:space="0"/>
            </w:tcBorders>
            <w:noWrap w:val="0"/>
            <w:tcMar>
              <w:left w:w="57" w:type="dxa"/>
              <w:right w:w="57" w:type="dxa"/>
            </w:tcMar>
            <w:vAlign w:val="center"/>
          </w:tcPr>
          <w:p>
            <w:pPr>
              <w:widowControl/>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CellMar>
            <w:top w:w="0" w:type="dxa"/>
            <w:left w:w="0" w:type="dxa"/>
            <w:bottom w:w="0" w:type="dxa"/>
            <w:right w:w="0" w:type="dxa"/>
          </w:tblCellMar>
        </w:tblPrEx>
        <w:trPr>
          <w:trHeight w:val="567" w:hRule="atLeast"/>
        </w:trPr>
        <w:tc>
          <w:tcPr>
            <w:tcW w:w="9740" w:type="dxa"/>
            <w:gridSpan w:val="4"/>
            <w:tcBorders>
              <w:top w:val="nil"/>
              <w:left w:val="single" w:color="auto" w:sz="12" w:space="0"/>
              <w:bottom w:val="single" w:color="auto" w:sz="8" w:space="0"/>
              <w:right w:val="single" w:color="auto" w:sz="12" w:space="0"/>
            </w:tcBorders>
            <w:shd w:val="clear" w:color="auto" w:fill="C6D9F1"/>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第二十条第（六）项</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信息内容</w:t>
            </w:r>
          </w:p>
        </w:tc>
        <w:tc>
          <w:tcPr>
            <w:tcW w:w="7305" w:type="dxa"/>
            <w:gridSpan w:val="3"/>
            <w:tcBorders>
              <w:top w:val="single" w:color="auto" w:sz="8" w:space="0"/>
              <w:left w:val="nil"/>
              <w:bottom w:val="single" w:color="auto" w:sz="8" w:space="0"/>
              <w:right w:val="single" w:color="auto" w:sz="12" w:space="0"/>
            </w:tcBorders>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本年处理决定数量</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widowControl/>
              <w:jc w:val="center"/>
              <w:rPr>
                <w:rFonts w:eastAsia="华文中宋" w:cs="宋体"/>
                <w:color w:val="000000"/>
                <w:kern w:val="0"/>
                <w:szCs w:val="21"/>
              </w:rPr>
            </w:pPr>
            <w:r>
              <w:rPr>
                <w:rFonts w:hint="eastAsia" w:eastAsia="华文中宋" w:cs="宋体"/>
                <w:color w:val="000000"/>
                <w:kern w:val="0"/>
                <w:szCs w:val="21"/>
              </w:rPr>
              <w:t>行政处罚</w:t>
            </w:r>
          </w:p>
        </w:tc>
        <w:tc>
          <w:tcPr>
            <w:tcW w:w="7305" w:type="dxa"/>
            <w:gridSpan w:val="3"/>
            <w:tcBorders>
              <w:top w:val="nil"/>
              <w:left w:val="nil"/>
              <w:bottom w:val="single" w:color="auto" w:sz="8" w:space="0"/>
              <w:right w:val="single" w:color="auto" w:sz="12" w:space="0"/>
            </w:tcBorders>
            <w:noWrap w:val="0"/>
            <w:tcMar>
              <w:left w:w="57" w:type="dxa"/>
              <w:right w:w="57" w:type="dxa"/>
            </w:tcMar>
            <w:vAlign w:val="center"/>
          </w:tcPr>
          <w:p>
            <w:pPr>
              <w:widowControl/>
              <w:jc w:val="center"/>
              <w:rPr>
                <w:rFonts w:hint="eastAsia" w:eastAsia="华文中宋" w:cs="宋体"/>
                <w:color w:val="000000"/>
                <w:kern w:val="0"/>
                <w:szCs w:val="21"/>
                <w:lang w:val="en-US" w:eastAsia="zh-CN"/>
              </w:rPr>
            </w:pPr>
            <w:r>
              <w:rPr>
                <w:rFonts w:hint="eastAsia" w:eastAsia="华文中宋" w:cs="宋体"/>
                <w:color w:val="000000"/>
                <w:kern w:val="0"/>
                <w:szCs w:val="21"/>
                <w:lang w:val="en-US" w:eastAsia="zh-CN"/>
              </w:rPr>
              <w:t>0</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widowControl/>
              <w:jc w:val="center"/>
              <w:rPr>
                <w:rFonts w:eastAsia="华文中宋" w:cs="宋体"/>
                <w:color w:val="000000"/>
                <w:kern w:val="0"/>
                <w:szCs w:val="21"/>
              </w:rPr>
            </w:pPr>
            <w:r>
              <w:rPr>
                <w:rFonts w:hint="eastAsia" w:eastAsia="华文中宋" w:cs="宋体"/>
                <w:color w:val="000000"/>
                <w:kern w:val="0"/>
                <w:szCs w:val="21"/>
              </w:rPr>
              <w:t>行政强制</w:t>
            </w:r>
          </w:p>
        </w:tc>
        <w:tc>
          <w:tcPr>
            <w:tcW w:w="7305" w:type="dxa"/>
            <w:gridSpan w:val="3"/>
            <w:tcBorders>
              <w:top w:val="nil"/>
              <w:left w:val="nil"/>
              <w:bottom w:val="single" w:color="auto" w:sz="8" w:space="0"/>
              <w:right w:val="single" w:color="auto" w:sz="12" w:space="0"/>
            </w:tcBorders>
            <w:noWrap w:val="0"/>
            <w:tcMar>
              <w:left w:w="57" w:type="dxa"/>
              <w:right w:w="57" w:type="dxa"/>
            </w:tcMar>
            <w:vAlign w:val="center"/>
          </w:tcPr>
          <w:p>
            <w:pPr>
              <w:widowControl/>
              <w:jc w:val="center"/>
              <w:rPr>
                <w:rFonts w:hint="eastAsia" w:eastAsia="华文中宋" w:cs="宋体"/>
                <w:color w:val="000000"/>
                <w:kern w:val="0"/>
                <w:szCs w:val="21"/>
                <w:lang w:val="en-US" w:eastAsia="zh-CN"/>
              </w:rPr>
            </w:pPr>
            <w:r>
              <w:rPr>
                <w:rFonts w:hint="eastAsia" w:eastAsia="华文中宋" w:cs="宋体"/>
                <w:color w:val="000000"/>
                <w:kern w:val="0"/>
                <w:szCs w:val="21"/>
                <w:lang w:val="en-US" w:eastAsia="zh-CN"/>
              </w:rPr>
              <w:t>0</w:t>
            </w:r>
          </w:p>
        </w:tc>
      </w:tr>
      <w:tr>
        <w:tblPrEx>
          <w:tblCellMar>
            <w:top w:w="0" w:type="dxa"/>
            <w:left w:w="0" w:type="dxa"/>
            <w:bottom w:w="0" w:type="dxa"/>
            <w:right w:w="0" w:type="dxa"/>
          </w:tblCellMar>
        </w:tblPrEx>
        <w:trPr>
          <w:trHeight w:val="567" w:hRule="atLeast"/>
        </w:trPr>
        <w:tc>
          <w:tcPr>
            <w:tcW w:w="9740" w:type="dxa"/>
            <w:gridSpan w:val="4"/>
            <w:tcBorders>
              <w:top w:val="nil"/>
              <w:left w:val="single" w:color="auto" w:sz="12" w:space="0"/>
              <w:bottom w:val="single" w:color="auto" w:sz="8" w:space="0"/>
              <w:right w:val="single" w:color="auto" w:sz="12" w:space="0"/>
            </w:tcBorders>
            <w:shd w:val="clear" w:color="auto" w:fill="C6D9F1"/>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第二十条第（八）项</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8" w:space="0"/>
              <w:right w:val="single" w:color="auto" w:sz="8" w:space="0"/>
            </w:tcBorders>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信息内容</w:t>
            </w:r>
          </w:p>
        </w:tc>
        <w:tc>
          <w:tcPr>
            <w:tcW w:w="7305" w:type="dxa"/>
            <w:gridSpan w:val="3"/>
            <w:tcBorders>
              <w:top w:val="nil"/>
              <w:left w:val="nil"/>
              <w:bottom w:val="single" w:color="auto" w:sz="8" w:space="0"/>
              <w:right w:val="single" w:color="auto" w:sz="12" w:space="0"/>
            </w:tcBorders>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本年收费金额（单位：万元）</w:t>
            </w:r>
          </w:p>
        </w:tc>
      </w:tr>
      <w:tr>
        <w:tblPrEx>
          <w:tblCellMar>
            <w:top w:w="0" w:type="dxa"/>
            <w:left w:w="0" w:type="dxa"/>
            <w:bottom w:w="0" w:type="dxa"/>
            <w:right w:w="0" w:type="dxa"/>
          </w:tblCellMar>
        </w:tblPrEx>
        <w:trPr>
          <w:trHeight w:val="567" w:hRule="atLeast"/>
        </w:trPr>
        <w:tc>
          <w:tcPr>
            <w:tcW w:w="2435" w:type="dxa"/>
            <w:tcBorders>
              <w:top w:val="nil"/>
              <w:left w:val="single" w:color="auto" w:sz="12" w:space="0"/>
              <w:bottom w:val="single" w:color="auto" w:sz="12" w:space="0"/>
              <w:right w:val="single" w:color="auto" w:sz="8" w:space="0"/>
            </w:tcBorders>
            <w:noWrap w:val="0"/>
            <w:tcMar>
              <w:left w:w="57" w:type="dxa"/>
              <w:right w:w="57" w:type="dxa"/>
            </w:tcMar>
            <w:vAlign w:val="center"/>
          </w:tcPr>
          <w:p>
            <w:pPr>
              <w:widowControl/>
              <w:jc w:val="center"/>
              <w:rPr>
                <w:rFonts w:eastAsia="华文中宋"/>
                <w:color w:val="000000"/>
                <w:szCs w:val="21"/>
              </w:rPr>
            </w:pPr>
            <w:r>
              <w:rPr>
                <w:rFonts w:hint="eastAsia" w:eastAsia="华文中宋" w:cs="宋体"/>
                <w:color w:val="000000"/>
                <w:kern w:val="0"/>
                <w:szCs w:val="21"/>
              </w:rPr>
              <w:t>行政事业性收费</w:t>
            </w:r>
          </w:p>
        </w:tc>
        <w:tc>
          <w:tcPr>
            <w:tcW w:w="7305" w:type="dxa"/>
            <w:gridSpan w:val="3"/>
            <w:tcBorders>
              <w:top w:val="nil"/>
              <w:left w:val="nil"/>
              <w:bottom w:val="single" w:color="auto" w:sz="12" w:space="0"/>
              <w:right w:val="single" w:color="auto" w:sz="12" w:space="0"/>
            </w:tcBorders>
            <w:noWrap w:val="0"/>
            <w:tcMar>
              <w:left w:w="57" w:type="dxa"/>
              <w:right w:w="57" w:type="dxa"/>
            </w:tcMar>
            <w:vAlign w:val="center"/>
          </w:tcPr>
          <w:p>
            <w:pPr>
              <w:jc w:val="center"/>
              <w:rPr>
                <w:rFonts w:hint="eastAsia" w:eastAsia="华文中宋"/>
                <w:color w:val="000000"/>
                <w:szCs w:val="21"/>
                <w:lang w:val="en-US" w:eastAsia="zh-CN"/>
              </w:rPr>
            </w:pPr>
            <w:r>
              <w:rPr>
                <w:rFonts w:hint="eastAsia" w:eastAsia="华文中宋"/>
                <w:color w:val="000000"/>
                <w:szCs w:val="21"/>
                <w:lang w:val="en-US" w:eastAsia="zh-CN"/>
              </w:rPr>
              <w:t>0</w:t>
            </w:r>
          </w:p>
        </w:tc>
      </w:tr>
    </w:tbl>
    <w:p>
      <w:pPr>
        <w:pStyle w:val="2"/>
        <w:spacing w:after="0" w:line="576" w:lineRule="exact"/>
        <w:ind w:left="0" w:leftChars="0" w:firstLine="640" w:firstLineChars="200"/>
        <w:rPr>
          <w:rFonts w:ascii="Times New Roman" w:eastAsia="黑体"/>
        </w:rPr>
      </w:pPr>
      <w:r>
        <w:rPr>
          <w:rFonts w:hint="eastAsia" w:ascii="Times New Roman" w:eastAsia="黑体"/>
        </w:rPr>
        <w:t>三、收到和处理政府信息公开申请情况</w:t>
      </w:r>
    </w:p>
    <w:tbl>
      <w:tblPr>
        <w:tblStyle w:val="4"/>
        <w:tblW w:w="4944" w:type="pct"/>
        <w:tblInd w:w="15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60"/>
        <w:gridCol w:w="813"/>
        <w:gridCol w:w="2702"/>
        <w:gridCol w:w="590"/>
        <w:gridCol w:w="602"/>
        <w:gridCol w:w="602"/>
        <w:gridCol w:w="602"/>
        <w:gridCol w:w="602"/>
        <w:gridCol w:w="602"/>
        <w:gridCol w:w="6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4446"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spacing w:line="280" w:lineRule="exact"/>
              <w:jc w:val="center"/>
              <w:rPr>
                <w:rFonts w:eastAsia="华文中宋"/>
                <w:color w:val="000000"/>
                <w:szCs w:val="21"/>
              </w:rPr>
            </w:pPr>
            <w:r>
              <w:rPr>
                <w:rFonts w:eastAsia="华文中宋" w:cs="楷体"/>
                <w:color w:val="000000"/>
                <w:kern w:val="0"/>
                <w:szCs w:val="21"/>
              </w:rPr>
              <w:t>（本列数据的勾稽关系为：第一项加第二项之和，等于第三项加第四项之和）</w:t>
            </w:r>
          </w:p>
        </w:tc>
        <w:tc>
          <w:tcPr>
            <w:tcW w:w="446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4446"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spacing w:line="280" w:lineRule="exact"/>
              <w:jc w:val="center"/>
              <w:rPr>
                <w:rFonts w:eastAsia="华文中宋"/>
                <w:color w:val="000000"/>
                <w:szCs w:val="21"/>
              </w:rPr>
            </w:pPr>
          </w:p>
        </w:tc>
        <w:tc>
          <w:tcPr>
            <w:tcW w:w="628"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自然人</w:t>
            </w:r>
          </w:p>
        </w:tc>
        <w:tc>
          <w:tcPr>
            <w:tcW w:w="3195" w:type="dxa"/>
            <w:gridSpan w:val="5"/>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法人或其他组织</w:t>
            </w:r>
          </w:p>
        </w:tc>
        <w:tc>
          <w:tcPr>
            <w:tcW w:w="639" w:type="dxa"/>
            <w:vMerge w:val="restart"/>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4446"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spacing w:line="280" w:lineRule="exact"/>
              <w:jc w:val="center"/>
              <w:rPr>
                <w:rFonts w:eastAsia="华文中宋"/>
                <w:color w:val="000000"/>
                <w:szCs w:val="21"/>
              </w:rPr>
            </w:pPr>
          </w:p>
        </w:tc>
        <w:tc>
          <w:tcPr>
            <w:tcW w:w="628"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639"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商业</w:t>
            </w:r>
          </w:p>
          <w:p>
            <w:pPr>
              <w:widowControl/>
              <w:spacing w:line="280" w:lineRule="exact"/>
              <w:jc w:val="center"/>
              <w:rPr>
                <w:rFonts w:eastAsia="华文中宋"/>
                <w:color w:val="000000"/>
                <w:szCs w:val="21"/>
              </w:rPr>
            </w:pPr>
            <w:r>
              <w:rPr>
                <w:rFonts w:hint="eastAsia" w:eastAsia="华文中宋" w:cs="宋体"/>
                <w:color w:val="000000"/>
                <w:kern w:val="0"/>
                <w:szCs w:val="21"/>
              </w:rPr>
              <w:t>企业</w:t>
            </w:r>
          </w:p>
        </w:tc>
        <w:tc>
          <w:tcPr>
            <w:tcW w:w="639"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科研</w:t>
            </w:r>
          </w:p>
          <w:p>
            <w:pPr>
              <w:widowControl/>
              <w:spacing w:line="280" w:lineRule="exact"/>
              <w:jc w:val="center"/>
              <w:rPr>
                <w:rFonts w:eastAsia="华文中宋"/>
                <w:color w:val="000000"/>
                <w:szCs w:val="21"/>
              </w:rPr>
            </w:pPr>
            <w:r>
              <w:rPr>
                <w:rFonts w:hint="eastAsia" w:eastAsia="华文中宋" w:cs="宋体"/>
                <w:color w:val="000000"/>
                <w:kern w:val="0"/>
                <w:szCs w:val="21"/>
              </w:rPr>
              <w:t>机构</w:t>
            </w:r>
          </w:p>
        </w:tc>
        <w:tc>
          <w:tcPr>
            <w:tcW w:w="639"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社会公益组织</w:t>
            </w:r>
          </w:p>
        </w:tc>
        <w:tc>
          <w:tcPr>
            <w:tcW w:w="639"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法律服务机构</w:t>
            </w:r>
          </w:p>
        </w:tc>
        <w:tc>
          <w:tcPr>
            <w:tcW w:w="639"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其他</w:t>
            </w:r>
          </w:p>
        </w:tc>
        <w:tc>
          <w:tcPr>
            <w:tcW w:w="639" w:type="dxa"/>
            <w:vMerge w:val="continue"/>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spacing w:line="280" w:lineRule="exact"/>
              <w:jc w:val="center"/>
              <w:rPr>
                <w:rFonts w:eastAsia="华文中宋"/>
                <w:color w:val="00000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444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一、本年新收政府信息公开申请数量</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444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二、上年结转政府信息公开申请数量</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三、本年度办理结果</w:t>
            </w:r>
          </w:p>
        </w:tc>
        <w:tc>
          <w:tcPr>
            <w:tcW w:w="374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（一）予以公开</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374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（二）部分公开</w:t>
            </w:r>
            <w:r>
              <w:rPr>
                <w:rFonts w:hint="eastAsia" w:eastAsia="华文中宋" w:cs="楷体"/>
                <w:color w:val="000000"/>
                <w:kern w:val="0"/>
                <w:szCs w:val="21"/>
              </w:rPr>
              <w:t>（区分处理的，只计这一情形，不计其他情形）</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（三）不予公开</w:t>
            </w: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1.属于国家秘密</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2.其他法律行政法规禁止公开</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3.危及“三安全一稳定”</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4.保护第三方合法权益</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5.属于三类内部事务信息</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6.属于四类过程性信息</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7.属于行政执法案卷</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8.属于行政查询事项</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（四）无法提供</w:t>
            </w: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1.本机关不掌握相关政府信息</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2.没有现成信息需要另行制作</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3.补正后申请内容仍不明确</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（五）不予处理</w:t>
            </w: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1.信访举报投诉类申请</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2.重复申请</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3.要求提供公开出版物</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4.无正当理由大量反复申请</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5.要求行政机关确认或重新出具已获取信息</w:t>
            </w:r>
          </w:p>
        </w:tc>
        <w:tc>
          <w:tcPr>
            <w:tcW w:w="62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restart"/>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（六）其他处理</w:t>
            </w: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1.申请人无正当理由逾期不补正、行政机关不再处理其政府信息公开申请</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2.申请人逾期未按收费通知要求缴纳费用、行政机关不再处理其政府信息公开申请</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865"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2880"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3.其他</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701"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spacing w:line="280" w:lineRule="exact"/>
              <w:jc w:val="center"/>
              <w:rPr>
                <w:rFonts w:eastAsia="华文中宋"/>
                <w:color w:val="000000"/>
                <w:szCs w:val="21"/>
              </w:rPr>
            </w:pPr>
          </w:p>
        </w:tc>
        <w:tc>
          <w:tcPr>
            <w:tcW w:w="374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（七）总计</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444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280" w:lineRule="exact"/>
              <w:jc w:val="center"/>
              <w:rPr>
                <w:rFonts w:eastAsia="华文中宋"/>
                <w:color w:val="000000"/>
                <w:szCs w:val="21"/>
              </w:rPr>
            </w:pPr>
            <w:r>
              <w:rPr>
                <w:rFonts w:hint="eastAsia" w:eastAsia="华文中宋" w:cs="宋体"/>
                <w:color w:val="000000"/>
                <w:kern w:val="0"/>
                <w:szCs w:val="21"/>
              </w:rPr>
              <w:t>四、结转下年度继续办理</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widowControl/>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c>
          <w:tcPr>
            <w:tcW w:w="639" w:type="dxa"/>
            <w:tcBorders>
              <w:top w:val="nil"/>
              <w:left w:val="nil"/>
              <w:bottom w:val="single" w:color="auto" w:sz="8" w:space="0"/>
              <w:right w:val="single" w:color="auto" w:sz="8" w:space="0"/>
            </w:tcBorders>
            <w:noWrap w:val="0"/>
            <w:tcMar>
              <w:left w:w="57" w:type="dxa"/>
              <w:right w:w="57" w:type="dxa"/>
            </w:tcMar>
            <w:vAlign w:val="center"/>
          </w:tcPr>
          <w:p>
            <w:pPr>
              <w:spacing w:line="280" w:lineRule="exact"/>
              <w:jc w:val="center"/>
              <w:rPr>
                <w:rFonts w:hint="eastAsia" w:eastAsia="华文中宋"/>
                <w:color w:val="000000"/>
                <w:szCs w:val="21"/>
                <w:lang w:val="en-US" w:eastAsia="zh-CN"/>
              </w:rPr>
            </w:pPr>
            <w:r>
              <w:rPr>
                <w:rFonts w:hint="eastAsia" w:eastAsia="华文中宋"/>
                <w:color w:val="000000"/>
                <w:szCs w:val="21"/>
                <w:lang w:val="en-US" w:eastAsia="zh-CN"/>
              </w:rPr>
              <w:t>0</w:t>
            </w:r>
          </w:p>
        </w:tc>
      </w:tr>
    </w:tbl>
    <w:p>
      <w:pPr>
        <w:pStyle w:val="2"/>
        <w:spacing w:after="0" w:line="576" w:lineRule="exact"/>
        <w:ind w:left="0" w:leftChars="0" w:firstLine="640" w:firstLineChars="200"/>
        <w:rPr>
          <w:rFonts w:ascii="Times New Roman" w:eastAsia="黑体"/>
        </w:rPr>
      </w:pPr>
      <w:r>
        <w:rPr>
          <w:rFonts w:hint="eastAsia" w:ascii="Times New Roman" w:eastAsia="黑体"/>
        </w:rPr>
        <w:t>四、政府信息公开行政复议、行政诉讼情况</w:t>
      </w:r>
    </w:p>
    <w:tbl>
      <w:tblPr>
        <w:tblStyle w:val="4"/>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68"/>
        <w:gridCol w:w="568"/>
        <w:gridCol w:w="568"/>
        <w:gridCol w:w="568"/>
        <w:gridCol w:w="568"/>
        <w:gridCol w:w="784"/>
        <w:gridCol w:w="604"/>
        <w:gridCol w:w="604"/>
        <w:gridCol w:w="604"/>
        <w:gridCol w:w="244"/>
        <w:gridCol w:w="964"/>
        <w:gridCol w:w="604"/>
        <w:gridCol w:w="604"/>
        <w:gridCol w:w="604"/>
        <w:gridCol w:w="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7" w:hRule="atLeast"/>
        </w:trPr>
        <w:tc>
          <w:tcPr>
            <w:tcW w:w="3245" w:type="dxa"/>
            <w:gridSpan w:val="5"/>
            <w:tcBorders>
              <w:top w:val="single" w:color="auto" w:sz="12" w:space="0"/>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eastAsia="华文中宋"/>
                <w:color w:val="000000"/>
                <w:w w:val="85"/>
                <w:szCs w:val="21"/>
              </w:rPr>
            </w:pPr>
            <w:r>
              <w:rPr>
                <w:rFonts w:hint="eastAsia" w:eastAsia="华文中宋" w:cs="宋体"/>
                <w:color w:val="000000"/>
                <w:w w:val="85"/>
                <w:kern w:val="0"/>
                <w:szCs w:val="21"/>
              </w:rPr>
              <w:t>行政复议</w:t>
            </w:r>
          </w:p>
        </w:tc>
        <w:tc>
          <w:tcPr>
            <w:tcW w:w="6498" w:type="dxa"/>
            <w:gridSpan w:val="10"/>
            <w:tcBorders>
              <w:top w:val="single" w:color="auto" w:sz="12" w:space="0"/>
              <w:left w:val="single" w:color="auto" w:sz="8" w:space="0"/>
              <w:bottom w:val="single" w:color="auto" w:sz="8" w:space="0"/>
              <w:right w:val="single" w:color="auto" w:sz="12" w:space="0"/>
            </w:tcBorders>
            <w:noWrap w:val="0"/>
            <w:tcMar>
              <w:left w:w="108" w:type="dxa"/>
              <w:right w:w="108" w:type="dxa"/>
            </w:tcMar>
            <w:vAlign w:val="center"/>
          </w:tcPr>
          <w:p>
            <w:pPr>
              <w:widowControl/>
              <w:jc w:val="center"/>
              <w:rPr>
                <w:rFonts w:eastAsia="华文中宋"/>
                <w:color w:val="000000"/>
                <w:w w:val="85"/>
                <w:szCs w:val="21"/>
              </w:rPr>
            </w:pPr>
            <w:r>
              <w:rPr>
                <w:rFonts w:hint="eastAsia" w:eastAsia="华文中宋" w:cs="宋体"/>
                <w:color w:val="000000"/>
                <w:w w:val="85"/>
                <w:kern w:val="0"/>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7" w:hRule="atLeast"/>
        </w:trPr>
        <w:tc>
          <w:tcPr>
            <w:tcW w:w="649" w:type="dxa"/>
            <w:vMerge w:val="restart"/>
            <w:tcBorders>
              <w:top w:val="nil"/>
              <w:left w:val="single" w:color="auto" w:sz="12" w:space="0"/>
              <w:bottom w:val="single" w:color="auto" w:sz="8" w:space="0"/>
              <w:right w:val="single" w:color="auto" w:sz="8" w:space="0"/>
            </w:tcBorders>
            <w:noWrap w:val="0"/>
            <w:tcMar>
              <w:left w:w="108" w:type="dxa"/>
              <w:right w:w="108" w:type="dxa"/>
            </w:tcMar>
            <w:vAlign w:val="center"/>
          </w:tcPr>
          <w:p>
            <w:pPr>
              <w:widowControl/>
              <w:jc w:val="center"/>
              <w:rPr>
                <w:rFonts w:eastAsia="华文中宋"/>
                <w:color w:val="000000"/>
                <w:w w:val="85"/>
                <w:szCs w:val="21"/>
              </w:rPr>
            </w:pPr>
            <w:r>
              <w:rPr>
                <w:rFonts w:hint="eastAsia" w:eastAsia="华文中宋" w:cs="宋体"/>
                <w:color w:val="000000"/>
                <w:w w:val="85"/>
                <w:kern w:val="0"/>
                <w:szCs w:val="21"/>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华文中宋" w:cs="宋体"/>
                <w:color w:val="000000"/>
                <w:w w:val="85"/>
                <w:kern w:val="0"/>
                <w:szCs w:val="21"/>
                <w:lang w:eastAsia="zh-CN"/>
              </w:rPr>
            </w:pPr>
            <w:r>
              <w:rPr>
                <w:rFonts w:hint="eastAsia" w:eastAsia="华文中宋" w:cs="宋体"/>
                <w:color w:val="000000"/>
                <w:w w:val="85"/>
                <w:kern w:val="0"/>
                <w:szCs w:val="21"/>
              </w:rPr>
              <w:t>结果</w:t>
            </w:r>
          </w:p>
          <w:p>
            <w:pPr>
              <w:widowControl/>
              <w:jc w:val="center"/>
              <w:rPr>
                <w:rFonts w:eastAsia="华文中宋"/>
                <w:color w:val="000000"/>
                <w:w w:val="85"/>
                <w:szCs w:val="21"/>
              </w:rPr>
            </w:pPr>
            <w:r>
              <w:rPr>
                <w:rFonts w:hint="eastAsia" w:eastAsia="华文中宋" w:cs="宋体"/>
                <w:color w:val="000000"/>
                <w:w w:val="85"/>
                <w:kern w:val="0"/>
                <w:szCs w:val="21"/>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华文中宋" w:cs="宋体"/>
                <w:color w:val="000000"/>
                <w:w w:val="85"/>
                <w:kern w:val="0"/>
                <w:szCs w:val="21"/>
                <w:lang w:eastAsia="zh-CN"/>
              </w:rPr>
            </w:pPr>
            <w:r>
              <w:rPr>
                <w:rFonts w:hint="eastAsia" w:eastAsia="华文中宋" w:cs="宋体"/>
                <w:color w:val="000000"/>
                <w:w w:val="85"/>
                <w:kern w:val="0"/>
                <w:szCs w:val="21"/>
              </w:rPr>
              <w:t>其他</w:t>
            </w:r>
          </w:p>
          <w:p>
            <w:pPr>
              <w:widowControl/>
              <w:jc w:val="center"/>
              <w:rPr>
                <w:rFonts w:eastAsia="华文中宋"/>
                <w:color w:val="000000"/>
                <w:w w:val="85"/>
                <w:szCs w:val="21"/>
              </w:rPr>
            </w:pPr>
            <w:r>
              <w:rPr>
                <w:rFonts w:hint="eastAsia" w:eastAsia="华文中宋" w:cs="宋体"/>
                <w:color w:val="000000"/>
                <w:w w:val="85"/>
                <w:kern w:val="0"/>
                <w:szCs w:val="21"/>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华文中宋" w:cs="宋体"/>
                <w:color w:val="000000"/>
                <w:w w:val="85"/>
                <w:kern w:val="0"/>
                <w:szCs w:val="21"/>
                <w:lang w:eastAsia="zh-CN"/>
              </w:rPr>
            </w:pPr>
            <w:r>
              <w:rPr>
                <w:rFonts w:hint="eastAsia" w:eastAsia="华文中宋" w:cs="宋体"/>
                <w:color w:val="000000"/>
                <w:w w:val="85"/>
                <w:kern w:val="0"/>
                <w:szCs w:val="21"/>
              </w:rPr>
              <w:t>尚未</w:t>
            </w:r>
          </w:p>
          <w:p>
            <w:pPr>
              <w:widowControl/>
              <w:jc w:val="center"/>
              <w:rPr>
                <w:rFonts w:eastAsia="华文中宋"/>
                <w:color w:val="000000"/>
                <w:w w:val="85"/>
                <w:szCs w:val="21"/>
              </w:rPr>
            </w:pPr>
            <w:r>
              <w:rPr>
                <w:rFonts w:hint="eastAsia" w:eastAsia="华文中宋" w:cs="宋体"/>
                <w:color w:val="000000"/>
                <w:w w:val="85"/>
                <w:kern w:val="0"/>
                <w:szCs w:val="21"/>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eastAsia="华文中宋"/>
                <w:color w:val="000000"/>
                <w:w w:val="85"/>
                <w:szCs w:val="21"/>
              </w:rPr>
            </w:pPr>
            <w:r>
              <w:rPr>
                <w:rFonts w:hint="eastAsia" w:eastAsia="华文中宋" w:cs="宋体"/>
                <w:color w:val="000000"/>
                <w:w w:val="85"/>
                <w:kern w:val="0"/>
                <w:szCs w:val="21"/>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eastAsia="华文中宋"/>
                <w:color w:val="000000"/>
                <w:w w:val="85"/>
                <w:szCs w:val="21"/>
              </w:rPr>
            </w:pPr>
            <w:r>
              <w:rPr>
                <w:rFonts w:hint="eastAsia" w:eastAsia="华文中宋" w:cs="宋体"/>
                <w:color w:val="000000"/>
                <w:w w:val="85"/>
                <w:kern w:val="0"/>
                <w:szCs w:val="21"/>
              </w:rPr>
              <w:t>未经复议直接起诉</w:t>
            </w:r>
          </w:p>
        </w:tc>
        <w:tc>
          <w:tcPr>
            <w:tcW w:w="3250" w:type="dxa"/>
            <w:gridSpan w:val="5"/>
            <w:tcBorders>
              <w:top w:val="single" w:color="auto" w:sz="8" w:space="0"/>
              <w:left w:val="single" w:color="auto" w:sz="8" w:space="0"/>
              <w:bottom w:val="single" w:color="auto" w:sz="8" w:space="0"/>
              <w:right w:val="single" w:color="auto" w:sz="12" w:space="0"/>
            </w:tcBorders>
            <w:noWrap w:val="0"/>
            <w:tcMar>
              <w:left w:w="108" w:type="dxa"/>
              <w:right w:w="108" w:type="dxa"/>
            </w:tcMar>
            <w:vAlign w:val="center"/>
          </w:tcPr>
          <w:p>
            <w:pPr>
              <w:widowControl/>
              <w:jc w:val="center"/>
              <w:rPr>
                <w:rFonts w:eastAsia="华文中宋"/>
                <w:color w:val="000000"/>
                <w:w w:val="85"/>
                <w:szCs w:val="21"/>
              </w:rPr>
            </w:pPr>
            <w:r>
              <w:rPr>
                <w:rFonts w:hint="eastAsia" w:eastAsia="华文中宋" w:cs="宋体"/>
                <w:color w:val="000000"/>
                <w:w w:val="85"/>
                <w:kern w:val="0"/>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7" w:hRule="atLeast"/>
        </w:trPr>
        <w:tc>
          <w:tcPr>
            <w:tcW w:w="649" w:type="dxa"/>
            <w:vMerge w:val="continue"/>
            <w:tcBorders>
              <w:top w:val="nil"/>
              <w:left w:val="single" w:color="auto" w:sz="12" w:space="0"/>
              <w:bottom w:val="single" w:color="auto" w:sz="8" w:space="0"/>
              <w:right w:val="single" w:color="auto" w:sz="8" w:space="0"/>
            </w:tcBorders>
            <w:noWrap w:val="0"/>
            <w:tcMar>
              <w:left w:w="108" w:type="dxa"/>
              <w:right w:w="108" w:type="dxa"/>
            </w:tcMar>
            <w:vAlign w:val="center"/>
          </w:tcPr>
          <w:p>
            <w:pPr>
              <w:jc w:val="center"/>
              <w:rPr>
                <w:rFonts w:eastAsia="华文中宋"/>
                <w:color w:val="000000"/>
                <w:w w:val="85"/>
                <w:szCs w:val="21"/>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eastAsia="华文中宋"/>
                <w:color w:val="000000"/>
                <w:w w:val="85"/>
                <w:szCs w:val="21"/>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jc w:val="center"/>
              <w:rPr>
                <w:rFonts w:eastAsia="华文中宋"/>
                <w:color w:val="000000"/>
                <w:w w:val="85"/>
                <w:szCs w:val="21"/>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jc w:val="center"/>
              <w:rPr>
                <w:rFonts w:eastAsia="华文中宋"/>
                <w:color w:val="000000"/>
                <w:w w:val="85"/>
                <w:szCs w:val="21"/>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jc w:val="center"/>
              <w:rPr>
                <w:rFonts w:eastAsia="华文中宋"/>
                <w:color w:val="000000"/>
                <w:w w:val="85"/>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华文中宋" w:cs="宋体"/>
                <w:color w:val="000000"/>
                <w:w w:val="85"/>
                <w:kern w:val="0"/>
                <w:szCs w:val="21"/>
                <w:lang w:eastAsia="zh-CN"/>
              </w:rPr>
            </w:pPr>
            <w:r>
              <w:rPr>
                <w:rFonts w:hint="eastAsia" w:eastAsia="华文中宋" w:cs="宋体"/>
                <w:color w:val="000000"/>
                <w:w w:val="85"/>
                <w:kern w:val="0"/>
                <w:szCs w:val="21"/>
              </w:rPr>
              <w:t>结果</w:t>
            </w:r>
          </w:p>
          <w:p>
            <w:pPr>
              <w:widowControl/>
              <w:jc w:val="center"/>
              <w:rPr>
                <w:rFonts w:eastAsia="华文中宋"/>
                <w:color w:val="000000"/>
                <w:w w:val="85"/>
                <w:szCs w:val="21"/>
              </w:rPr>
            </w:pPr>
            <w:r>
              <w:rPr>
                <w:rFonts w:hint="eastAsia" w:eastAsia="华文中宋" w:cs="宋体"/>
                <w:color w:val="000000"/>
                <w:w w:val="85"/>
                <w:kern w:val="0"/>
                <w:szCs w:val="21"/>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华文中宋" w:cs="宋体"/>
                <w:color w:val="000000"/>
                <w:w w:val="85"/>
                <w:kern w:val="0"/>
                <w:szCs w:val="21"/>
                <w:lang w:eastAsia="zh-CN"/>
              </w:rPr>
            </w:pPr>
            <w:r>
              <w:rPr>
                <w:rFonts w:hint="eastAsia" w:eastAsia="华文中宋" w:cs="宋体"/>
                <w:color w:val="000000"/>
                <w:w w:val="85"/>
                <w:kern w:val="0"/>
                <w:szCs w:val="21"/>
              </w:rPr>
              <w:t>结果</w:t>
            </w:r>
          </w:p>
          <w:p>
            <w:pPr>
              <w:widowControl/>
              <w:jc w:val="center"/>
              <w:rPr>
                <w:rFonts w:eastAsia="华文中宋"/>
                <w:color w:val="000000"/>
                <w:w w:val="85"/>
                <w:szCs w:val="21"/>
              </w:rPr>
            </w:pPr>
            <w:r>
              <w:rPr>
                <w:rFonts w:hint="eastAsia" w:eastAsia="华文中宋" w:cs="宋体"/>
                <w:color w:val="000000"/>
                <w:w w:val="85"/>
                <w:kern w:val="0"/>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华文中宋" w:cs="宋体"/>
                <w:color w:val="000000"/>
                <w:w w:val="85"/>
                <w:kern w:val="0"/>
                <w:szCs w:val="21"/>
                <w:lang w:eastAsia="zh-CN"/>
              </w:rPr>
            </w:pPr>
            <w:r>
              <w:rPr>
                <w:rFonts w:hint="eastAsia" w:eastAsia="华文中宋" w:cs="宋体"/>
                <w:color w:val="000000"/>
                <w:w w:val="85"/>
                <w:kern w:val="0"/>
                <w:szCs w:val="21"/>
              </w:rPr>
              <w:t>其他</w:t>
            </w:r>
          </w:p>
          <w:p>
            <w:pPr>
              <w:widowControl/>
              <w:jc w:val="center"/>
              <w:rPr>
                <w:rFonts w:eastAsia="华文中宋"/>
                <w:color w:val="000000"/>
                <w:w w:val="85"/>
                <w:szCs w:val="21"/>
              </w:rPr>
            </w:pPr>
            <w:r>
              <w:rPr>
                <w:rFonts w:hint="eastAsia" w:eastAsia="华文中宋" w:cs="宋体"/>
                <w:color w:val="000000"/>
                <w:w w:val="85"/>
                <w:kern w:val="0"/>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华文中宋" w:cs="宋体"/>
                <w:color w:val="000000"/>
                <w:w w:val="85"/>
                <w:kern w:val="0"/>
                <w:szCs w:val="21"/>
                <w:lang w:eastAsia="zh-CN"/>
              </w:rPr>
            </w:pPr>
            <w:r>
              <w:rPr>
                <w:rFonts w:hint="eastAsia" w:eastAsia="华文中宋" w:cs="宋体"/>
                <w:color w:val="000000"/>
                <w:w w:val="85"/>
                <w:kern w:val="0"/>
                <w:szCs w:val="21"/>
              </w:rPr>
              <w:t>尚未</w:t>
            </w:r>
          </w:p>
          <w:p>
            <w:pPr>
              <w:widowControl/>
              <w:jc w:val="center"/>
              <w:rPr>
                <w:rFonts w:eastAsia="华文中宋"/>
                <w:color w:val="000000"/>
                <w:w w:val="85"/>
                <w:szCs w:val="21"/>
              </w:rPr>
            </w:pPr>
            <w:r>
              <w:rPr>
                <w:rFonts w:hint="eastAsia" w:eastAsia="华文中宋" w:cs="宋体"/>
                <w:color w:val="000000"/>
                <w:w w:val="85"/>
                <w:kern w:val="0"/>
                <w:szCs w:val="21"/>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eastAsia="华文中宋"/>
                <w:color w:val="000000"/>
                <w:w w:val="85"/>
                <w:szCs w:val="21"/>
              </w:rPr>
            </w:pPr>
            <w:r>
              <w:rPr>
                <w:rFonts w:hint="eastAsia" w:eastAsia="华文中宋" w:cs="宋体"/>
                <w:color w:val="000000"/>
                <w:w w:val="85"/>
                <w:kern w:val="0"/>
                <w:szCs w:val="21"/>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华文中宋" w:cs="宋体"/>
                <w:color w:val="000000"/>
                <w:w w:val="85"/>
                <w:kern w:val="0"/>
                <w:szCs w:val="21"/>
                <w:lang w:eastAsia="zh-CN"/>
              </w:rPr>
            </w:pPr>
            <w:r>
              <w:rPr>
                <w:rFonts w:hint="eastAsia" w:eastAsia="华文中宋" w:cs="宋体"/>
                <w:color w:val="000000"/>
                <w:w w:val="85"/>
                <w:kern w:val="0"/>
                <w:szCs w:val="21"/>
              </w:rPr>
              <w:t>结果</w:t>
            </w:r>
          </w:p>
          <w:p>
            <w:pPr>
              <w:widowControl/>
              <w:jc w:val="center"/>
              <w:rPr>
                <w:rFonts w:eastAsia="华文中宋"/>
                <w:color w:val="000000"/>
                <w:w w:val="85"/>
                <w:szCs w:val="21"/>
              </w:rPr>
            </w:pPr>
            <w:r>
              <w:rPr>
                <w:rFonts w:hint="eastAsia" w:eastAsia="华文中宋" w:cs="宋体"/>
                <w:color w:val="000000"/>
                <w:w w:val="85"/>
                <w:kern w:val="0"/>
                <w:szCs w:val="21"/>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华文中宋" w:cs="宋体"/>
                <w:color w:val="000000"/>
                <w:w w:val="85"/>
                <w:kern w:val="0"/>
                <w:szCs w:val="21"/>
                <w:lang w:eastAsia="zh-CN"/>
              </w:rPr>
            </w:pPr>
            <w:r>
              <w:rPr>
                <w:rFonts w:hint="eastAsia" w:eastAsia="华文中宋" w:cs="宋体"/>
                <w:color w:val="000000"/>
                <w:w w:val="85"/>
                <w:kern w:val="0"/>
                <w:szCs w:val="21"/>
              </w:rPr>
              <w:t>结果</w:t>
            </w:r>
          </w:p>
          <w:p>
            <w:pPr>
              <w:widowControl/>
              <w:jc w:val="center"/>
              <w:rPr>
                <w:rFonts w:eastAsia="华文中宋"/>
                <w:color w:val="000000"/>
                <w:w w:val="85"/>
                <w:szCs w:val="21"/>
              </w:rPr>
            </w:pPr>
            <w:r>
              <w:rPr>
                <w:rFonts w:hint="eastAsia" w:eastAsia="华文中宋" w:cs="宋体"/>
                <w:color w:val="000000"/>
                <w:w w:val="85"/>
                <w:kern w:val="0"/>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华文中宋" w:cs="宋体"/>
                <w:color w:val="000000"/>
                <w:w w:val="85"/>
                <w:kern w:val="0"/>
                <w:szCs w:val="21"/>
                <w:lang w:eastAsia="zh-CN"/>
              </w:rPr>
            </w:pPr>
            <w:r>
              <w:rPr>
                <w:rFonts w:hint="eastAsia" w:eastAsia="华文中宋" w:cs="宋体"/>
                <w:color w:val="000000"/>
                <w:w w:val="85"/>
                <w:kern w:val="0"/>
                <w:szCs w:val="21"/>
              </w:rPr>
              <w:t>其他</w:t>
            </w:r>
          </w:p>
          <w:p>
            <w:pPr>
              <w:widowControl/>
              <w:jc w:val="center"/>
              <w:rPr>
                <w:rFonts w:eastAsia="华文中宋"/>
                <w:color w:val="000000"/>
                <w:w w:val="85"/>
                <w:szCs w:val="21"/>
              </w:rPr>
            </w:pPr>
            <w:r>
              <w:rPr>
                <w:rFonts w:hint="eastAsia" w:eastAsia="华文中宋" w:cs="宋体"/>
                <w:color w:val="000000"/>
                <w:w w:val="85"/>
                <w:kern w:val="0"/>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华文中宋" w:cs="宋体"/>
                <w:color w:val="000000"/>
                <w:w w:val="85"/>
                <w:kern w:val="0"/>
                <w:szCs w:val="21"/>
                <w:lang w:eastAsia="zh-CN"/>
              </w:rPr>
            </w:pPr>
            <w:r>
              <w:rPr>
                <w:rFonts w:hint="eastAsia" w:eastAsia="华文中宋" w:cs="宋体"/>
                <w:color w:val="000000"/>
                <w:w w:val="85"/>
                <w:kern w:val="0"/>
                <w:szCs w:val="21"/>
              </w:rPr>
              <w:t>尚未</w:t>
            </w:r>
          </w:p>
          <w:p>
            <w:pPr>
              <w:widowControl/>
              <w:jc w:val="center"/>
              <w:rPr>
                <w:rFonts w:eastAsia="华文中宋"/>
                <w:color w:val="000000"/>
                <w:w w:val="85"/>
                <w:szCs w:val="21"/>
              </w:rPr>
            </w:pPr>
            <w:r>
              <w:rPr>
                <w:rFonts w:hint="eastAsia" w:eastAsia="华文中宋" w:cs="宋体"/>
                <w:color w:val="000000"/>
                <w:w w:val="85"/>
                <w:kern w:val="0"/>
                <w:szCs w:val="21"/>
              </w:rPr>
              <w:t>审结</w:t>
            </w:r>
          </w:p>
        </w:tc>
        <w:tc>
          <w:tcPr>
            <w:tcW w:w="650" w:type="dxa"/>
            <w:tcBorders>
              <w:top w:val="single" w:color="auto" w:sz="8" w:space="0"/>
              <w:left w:val="single" w:color="auto" w:sz="8" w:space="0"/>
              <w:bottom w:val="single" w:color="auto" w:sz="8" w:space="0"/>
              <w:right w:val="single" w:color="auto" w:sz="12" w:space="0"/>
            </w:tcBorders>
            <w:noWrap w:val="0"/>
            <w:tcMar>
              <w:left w:w="108" w:type="dxa"/>
              <w:right w:w="108" w:type="dxa"/>
            </w:tcMar>
            <w:vAlign w:val="center"/>
          </w:tcPr>
          <w:p>
            <w:pPr>
              <w:widowControl/>
              <w:jc w:val="center"/>
              <w:rPr>
                <w:rFonts w:eastAsia="华文中宋"/>
                <w:color w:val="000000"/>
                <w:w w:val="85"/>
                <w:szCs w:val="21"/>
              </w:rPr>
            </w:pPr>
            <w:r>
              <w:rPr>
                <w:rFonts w:hint="eastAsia" w:eastAsia="华文中宋" w:cs="宋体"/>
                <w:color w:val="000000"/>
                <w:w w:val="85"/>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49" w:hRule="atLeast"/>
        </w:trPr>
        <w:tc>
          <w:tcPr>
            <w:tcW w:w="649" w:type="dxa"/>
            <w:tcBorders>
              <w:top w:val="nil"/>
              <w:left w:val="single" w:color="auto" w:sz="12"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49" w:type="dxa"/>
            <w:tcBorders>
              <w:top w:val="nil"/>
              <w:left w:val="single" w:color="auto" w:sz="8"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49" w:type="dxa"/>
            <w:tcBorders>
              <w:top w:val="nil"/>
              <w:left w:val="single" w:color="auto" w:sz="8"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49" w:type="dxa"/>
            <w:tcBorders>
              <w:top w:val="nil"/>
              <w:left w:val="single" w:color="auto" w:sz="8"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49" w:type="dxa"/>
            <w:tcBorders>
              <w:top w:val="nil"/>
              <w:left w:val="single" w:color="auto" w:sz="8"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49" w:type="dxa"/>
            <w:tcBorders>
              <w:top w:val="nil"/>
              <w:left w:val="single" w:color="auto" w:sz="8"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49" w:type="dxa"/>
            <w:tcBorders>
              <w:top w:val="nil"/>
              <w:left w:val="single" w:color="auto" w:sz="8"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50" w:type="dxa"/>
            <w:tcBorders>
              <w:top w:val="nil"/>
              <w:left w:val="single" w:color="auto" w:sz="8"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50" w:type="dxa"/>
            <w:tcBorders>
              <w:top w:val="nil"/>
              <w:left w:val="single" w:color="auto" w:sz="8"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50" w:type="dxa"/>
            <w:tcBorders>
              <w:top w:val="nil"/>
              <w:left w:val="single" w:color="auto" w:sz="8"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50" w:type="dxa"/>
            <w:tcBorders>
              <w:top w:val="nil"/>
              <w:left w:val="single" w:color="auto" w:sz="8"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50" w:type="dxa"/>
            <w:tcBorders>
              <w:top w:val="nil"/>
              <w:left w:val="single" w:color="auto" w:sz="8"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50" w:type="dxa"/>
            <w:tcBorders>
              <w:top w:val="nil"/>
              <w:left w:val="single" w:color="auto" w:sz="8"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50" w:type="dxa"/>
            <w:tcBorders>
              <w:top w:val="nil"/>
              <w:left w:val="single" w:color="auto" w:sz="8" w:space="0"/>
              <w:bottom w:val="single" w:color="auto" w:sz="12" w:space="0"/>
              <w:right w:val="single" w:color="auto" w:sz="8" w:space="0"/>
            </w:tcBorders>
            <w:noWrap w:val="0"/>
            <w:tcMar>
              <w:left w:w="108" w:type="dxa"/>
              <w:right w:w="108" w:type="dxa"/>
            </w:tcMar>
            <w:vAlign w:val="center"/>
          </w:tcPr>
          <w:p>
            <w:pPr>
              <w:widowControl/>
              <w:jc w:val="center"/>
              <w:rPr>
                <w:rFonts w:hint="eastAsia" w:eastAsia="华文中宋"/>
                <w:color w:val="000000"/>
                <w:w w:val="85"/>
                <w:szCs w:val="21"/>
                <w:lang w:val="en-US" w:eastAsia="zh-CN"/>
              </w:rPr>
            </w:pPr>
            <w:r>
              <w:rPr>
                <w:rFonts w:hint="eastAsia" w:eastAsia="华文中宋"/>
                <w:color w:val="000000"/>
                <w:w w:val="85"/>
                <w:szCs w:val="21"/>
                <w:lang w:val="en-US" w:eastAsia="zh-CN"/>
              </w:rPr>
              <w:t>0</w:t>
            </w:r>
          </w:p>
        </w:tc>
        <w:tc>
          <w:tcPr>
            <w:tcW w:w="650" w:type="dxa"/>
            <w:tcBorders>
              <w:top w:val="nil"/>
              <w:left w:val="single" w:color="auto" w:sz="8" w:space="0"/>
              <w:bottom w:val="single" w:color="auto" w:sz="12" w:space="0"/>
              <w:right w:val="single" w:color="auto" w:sz="12" w:space="0"/>
            </w:tcBorders>
            <w:noWrap w:val="0"/>
            <w:tcMar>
              <w:left w:w="108" w:type="dxa"/>
              <w:right w:w="108" w:type="dxa"/>
            </w:tcMar>
            <w:vAlign w:val="center"/>
          </w:tcPr>
          <w:p>
            <w:pPr>
              <w:jc w:val="center"/>
              <w:rPr>
                <w:rFonts w:eastAsia="华文中宋"/>
                <w:color w:val="000000"/>
                <w:w w:val="85"/>
                <w:szCs w:val="21"/>
              </w:rPr>
            </w:pPr>
          </w:p>
        </w:tc>
      </w:tr>
    </w:tbl>
    <w:p>
      <w:pPr>
        <w:widowControl/>
        <w:spacing w:line="576" w:lineRule="exact"/>
        <w:ind w:firstLine="640" w:firstLineChars="200"/>
        <w:jc w:val="left"/>
        <w:rPr>
          <w:rFonts w:eastAsia="黑体"/>
          <w:sz w:val="32"/>
          <w:szCs w:val="32"/>
        </w:rPr>
      </w:pPr>
      <w:r>
        <w:rPr>
          <w:rFonts w:hint="eastAsia" w:eastAsia="黑体"/>
          <w:sz w:val="32"/>
          <w:szCs w:val="32"/>
        </w:rPr>
        <w:t>五、存在的主要问题及改进情况</w:t>
      </w:r>
    </w:p>
    <w:p>
      <w:pPr>
        <w:spacing w:line="576" w:lineRule="exact"/>
        <w:ind w:firstLine="640" w:firstLineChars="200"/>
        <w:rPr>
          <w:rFonts w:hint="eastAsia"/>
          <w:sz w:val="32"/>
          <w:szCs w:val="32"/>
        </w:rPr>
      </w:pPr>
      <w:r>
        <w:rPr>
          <w:rFonts w:hint="eastAsia"/>
          <w:sz w:val="32"/>
          <w:szCs w:val="32"/>
        </w:rPr>
        <w:t>2022年，我局信息公开工作在以下方面还需进一步加强</w:t>
      </w:r>
      <w:r>
        <w:rPr>
          <w:rFonts w:hint="eastAsia"/>
          <w:sz w:val="32"/>
          <w:szCs w:val="32"/>
          <w:lang w:eastAsia="zh-CN"/>
        </w:rPr>
        <w:t>，如</w:t>
      </w:r>
      <w:r>
        <w:rPr>
          <w:rFonts w:hint="eastAsia"/>
          <w:sz w:val="32"/>
          <w:szCs w:val="32"/>
        </w:rPr>
        <w:t>全局干部参与度不够</w:t>
      </w:r>
      <w:r>
        <w:rPr>
          <w:rFonts w:hint="eastAsia"/>
          <w:sz w:val="32"/>
          <w:szCs w:val="32"/>
          <w:lang w:eastAsia="zh-CN"/>
        </w:rPr>
        <w:t>、</w:t>
      </w:r>
      <w:r>
        <w:rPr>
          <w:rFonts w:hint="eastAsia"/>
          <w:sz w:val="32"/>
          <w:szCs w:val="32"/>
        </w:rPr>
        <w:t>公开内容有待充实等问题。2023年，我们将在</w:t>
      </w:r>
      <w:r>
        <w:rPr>
          <w:rFonts w:hint="eastAsia"/>
          <w:sz w:val="32"/>
          <w:szCs w:val="32"/>
          <w:lang w:val="en-US" w:eastAsia="zh-CN"/>
        </w:rPr>
        <w:t>区</w:t>
      </w:r>
      <w:r>
        <w:rPr>
          <w:rFonts w:hint="eastAsia"/>
          <w:sz w:val="32"/>
          <w:szCs w:val="32"/>
        </w:rPr>
        <w:t>政府相关部门的指导下，持续完善政府信息公开工作。</w:t>
      </w:r>
    </w:p>
    <w:p>
      <w:pPr>
        <w:spacing w:line="576" w:lineRule="exact"/>
        <w:ind w:firstLine="640" w:firstLineChars="200"/>
        <w:rPr>
          <w:rFonts w:hint="eastAsia"/>
          <w:sz w:val="32"/>
          <w:szCs w:val="32"/>
        </w:rPr>
      </w:pPr>
      <w:r>
        <w:rPr>
          <w:rFonts w:hint="eastAsia"/>
          <w:sz w:val="32"/>
          <w:szCs w:val="32"/>
        </w:rPr>
        <w:t>下一步，我们将加强内容保障力度，加强队伍建设，创新公开方式，推进</w:t>
      </w:r>
      <w:r>
        <w:rPr>
          <w:rFonts w:hint="eastAsia"/>
          <w:sz w:val="32"/>
          <w:szCs w:val="32"/>
          <w:lang w:val="en-US" w:eastAsia="zh-CN"/>
        </w:rPr>
        <w:t>区退役军人</w:t>
      </w:r>
      <w:r>
        <w:rPr>
          <w:rFonts w:hint="eastAsia"/>
          <w:sz w:val="32"/>
          <w:szCs w:val="32"/>
        </w:rPr>
        <w:t>局政府信息公开工作再上新台阶。</w:t>
      </w:r>
    </w:p>
    <w:p>
      <w:pPr>
        <w:spacing w:line="576" w:lineRule="exact"/>
        <w:ind w:firstLine="640" w:firstLineChars="200"/>
        <w:rPr>
          <w:rFonts w:hint="eastAsia"/>
          <w:sz w:val="32"/>
          <w:szCs w:val="32"/>
        </w:rPr>
      </w:pPr>
      <w:r>
        <w:rPr>
          <w:rFonts w:hint="eastAsia"/>
          <w:sz w:val="32"/>
          <w:szCs w:val="32"/>
        </w:rPr>
        <w:t>一是强化组织领导。</w:t>
      </w:r>
      <w:r>
        <w:rPr>
          <w:rFonts w:hint="eastAsia"/>
          <w:sz w:val="32"/>
          <w:szCs w:val="32"/>
          <w:lang w:val="en-US" w:eastAsia="zh-CN"/>
        </w:rPr>
        <w:t>退役军人</w:t>
      </w:r>
      <w:r>
        <w:rPr>
          <w:rFonts w:hint="eastAsia"/>
          <w:sz w:val="32"/>
          <w:szCs w:val="32"/>
        </w:rPr>
        <w:t>工作涉及民生，关系到群众切身利益，是政府信息公开和公共服务的重要内容。我局坚持政务公开与督察督办相结合，主动研究、督促、协调工作中存在的问题，确保各项工作的顺利展开。</w:t>
      </w:r>
    </w:p>
    <w:p>
      <w:pPr>
        <w:spacing w:line="576" w:lineRule="exact"/>
        <w:ind w:firstLine="640" w:firstLineChars="200"/>
        <w:rPr>
          <w:rFonts w:hint="eastAsia"/>
          <w:sz w:val="32"/>
          <w:szCs w:val="32"/>
        </w:rPr>
      </w:pPr>
      <w:r>
        <w:rPr>
          <w:rFonts w:hint="eastAsia"/>
          <w:sz w:val="32"/>
          <w:szCs w:val="32"/>
        </w:rPr>
        <w:t>二是规范信息公开。严格落实保密审查制度，进一步规范信息公开工作，统一明确信息发布范围，严格发布流程，实现了从信息撰写到网上发布，层层审核，事事登记。将信息安全放在第一位，本着“公开不涉密，涉密不公开”的要求，凡是公开的信息都必须经过信息工作人员、股长、分管领导层层把关，确保信息安全不泄密，不出任何纰漏。</w:t>
      </w:r>
    </w:p>
    <w:p>
      <w:pPr>
        <w:spacing w:line="576" w:lineRule="exact"/>
        <w:ind w:firstLine="640" w:firstLineChars="200"/>
        <w:rPr>
          <w:sz w:val="32"/>
          <w:szCs w:val="32"/>
        </w:rPr>
      </w:pPr>
      <w:r>
        <w:rPr>
          <w:rFonts w:hint="eastAsia"/>
          <w:sz w:val="32"/>
          <w:szCs w:val="32"/>
        </w:rPr>
        <w:t>三是加强学习培训。目前我局</w:t>
      </w:r>
      <w:r>
        <w:rPr>
          <w:rFonts w:hint="eastAsia"/>
          <w:sz w:val="32"/>
          <w:szCs w:val="32"/>
          <w:lang w:eastAsia="zh-CN"/>
        </w:rPr>
        <w:t>信息公开栏目</w:t>
      </w:r>
      <w:r>
        <w:rPr>
          <w:rFonts w:hint="eastAsia"/>
          <w:sz w:val="32"/>
          <w:szCs w:val="32"/>
        </w:rPr>
        <w:t>主要发布机构职能、信息公开指南、政策法规、通知公告、工作动态等信息。</w:t>
      </w:r>
      <w:r>
        <w:rPr>
          <w:rFonts w:hint="eastAsia"/>
          <w:sz w:val="32"/>
          <w:szCs w:val="32"/>
          <w:lang w:eastAsia="zh-CN"/>
        </w:rPr>
        <w:t>下一步</w:t>
      </w:r>
      <w:r>
        <w:rPr>
          <w:rFonts w:hint="eastAsia"/>
          <w:sz w:val="32"/>
          <w:szCs w:val="32"/>
        </w:rPr>
        <w:t>将《政府信息公开条例》纳入干部学法年度工作计划，利用政治学习、业务培训等平台，组织干部职工学习政府信息公开范围、操作流程、保密审查等具体要求，确保信息公开工作的顺利有序开展。</w:t>
      </w:r>
    </w:p>
    <w:p>
      <w:pPr>
        <w:widowControl/>
        <w:spacing w:line="576" w:lineRule="exact"/>
        <w:ind w:firstLine="640" w:firstLineChars="200"/>
        <w:jc w:val="left"/>
        <w:rPr>
          <w:rFonts w:eastAsia="黑体"/>
          <w:sz w:val="32"/>
          <w:szCs w:val="32"/>
        </w:rPr>
      </w:pPr>
      <w:r>
        <w:rPr>
          <w:rFonts w:hint="eastAsia" w:eastAsia="黑体"/>
          <w:sz w:val="32"/>
          <w:szCs w:val="32"/>
        </w:rPr>
        <w:t>六、其他需要报告的事项</w:t>
      </w:r>
    </w:p>
    <w:p>
      <w:pPr>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按照《国务院办公厅关于印发〈政府信息公开信息处理</w:t>
      </w:r>
      <w:r>
        <w:rPr>
          <w:sz w:val="32"/>
        </w:rPr>
        <mc:AlternateContent>
          <mc:Choice Requires="wps">
            <w:drawing>
              <wp:anchor distT="0" distB="0" distL="114300" distR="114300" simplePos="0" relativeHeight="25166131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5" name="KGD_Gobal1" descr="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"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" style="position:absolute;left:0pt;margin-left:-100pt;margin-top:-62pt;height:5pt;width:5pt;visibility:hidden;z-index:25166131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">
                <v:fill on="t" focussize="0,0"/>
                <v:stroke weight="1pt" color="#41719C [3204]" miterlimit="8" joinstyle="miter"/>
                <v:imagedata o:title=""/>
                <o:lock v:ext="edit" aspectratio="f"/>
              </v:rect>
            </w:pict>
          </mc:Fallback>
        </mc:AlternateContent>
      </w:r>
      <w:r>
        <w:rPr>
          <w:rFonts w:hint="eastAsia" w:ascii="仿宋_GB2312" w:hAnsi="仿宋_GB2312" w:cs="仿宋_GB2312"/>
          <w:sz w:val="32"/>
          <w:szCs w:val="32"/>
        </w:rPr>
        <w:t>费管理办法〉的通知》（国办函〔2020〕109号）规定的按件、按量收费标准，本年度没有产生信息公开处理费。</w:t>
      </w:r>
    </w:p>
    <w:p>
      <w:pPr>
        <w:ind w:firstLine="640" w:firstLineChars="200"/>
        <w:rPr>
          <w:sz w:val="32"/>
          <w:szCs w:val="32"/>
        </w:rPr>
      </w:pPr>
    </w:p>
    <w:p>
      <w:pPr>
        <w:ind w:firstLine="640" w:firstLineChars="200"/>
        <w:rPr>
          <w:sz w:val="32"/>
          <w:szCs w:val="32"/>
        </w:rPr>
      </w:pPr>
    </w:p>
    <w:p>
      <w:pPr>
        <w:ind w:firstLine="2240" w:firstLineChars="700"/>
        <w:rPr>
          <w:sz w:val="32"/>
          <w:szCs w:val="32"/>
        </w:rPr>
      </w:pPr>
      <w:r>
        <w:rPr>
          <w:sz w:val="32"/>
        </w:rPr>
        <mc:AlternateContent>
          <mc:Choice Requires="wps">
            <w:drawing>
              <wp:anchor distT="0" distB="0" distL="114300" distR="114300" simplePos="0" relativeHeight="251659264" behindDoc="1" locked="0" layoutInCell="1" hidden="1" allowOverlap="1">
                <wp:simplePos x="0" y="0"/>
                <wp:positionH relativeFrom="column">
                  <wp:posOffset>-4923155</wp:posOffset>
                </wp:positionH>
                <wp:positionV relativeFrom="paragraph">
                  <wp:posOffset>-7814945</wp:posOffset>
                </wp:positionV>
                <wp:extent cx="15120620" cy="21384260"/>
                <wp:effectExtent l="0" t="0" r="0" b="0"/>
                <wp:wrapNone/>
                <wp:docPr id="4" name="KG_Shd_7"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7" o:spid="_x0000_s1026" o:spt="1" style="position:absolute;left:0pt;margin-left:-387.65pt;margin-top:-615.35pt;height:1683.8pt;width:1190.6pt;visibility:hidden;z-index:-251657216;v-text-anchor:middle;mso-width-relative:page;mso-height-relative:page;" fillcolor="#FFFFFF" filled="t" stroked="t" coordsize="21600,21600" o:gfxdata="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47e4bt0AAAAQAQAADwAAAAAAAAABACAAAAAi&#10;AAAAZHJzL2Rvd25yZXYueG1sUEsBAhQAFAAAAAgAh07iQPuTdNF3AgAAPAUAAA4AAAAAAAAAAQAg&#10;AAAALAEAAGRycy9lMm9Eb2MueG1sUEsFBgAAAAAGAAYAWQEAABUGAAAAAA==&#10;">
                <v:fill on="t" opacity="0f" focussize="0,0"/>
                <v:stroke weight="1pt" color="#FFFFFF [3204]" opacity="0f" miterlimit="8" joinstyle="miter"/>
                <v:imagedata o:title=""/>
                <o:lock v:ext="edit" aspectratio="f"/>
              </v:rect>
            </w:pict>
          </mc:Fallback>
        </mc:AlternateContent>
      </w:r>
      <w:r>
        <w:rPr>
          <w:rFonts w:hint="eastAsia"/>
          <w:sz w:val="32"/>
          <w:szCs w:val="32"/>
        </w:rPr>
        <w:t>六安市叶集区退役军人事务局</w:t>
      </w:r>
    </w:p>
    <w:p>
      <w:pPr>
        <w:ind w:firstLine="3200" w:firstLineChars="1000"/>
      </w:pPr>
      <w:r>
        <w:rPr>
          <w:sz w:val="32"/>
        </w:rPr>
        <mc:AlternateContent>
          <mc:Choice Requires="wps">
            <w:drawing>
              <wp:anchor distT="0" distB="0" distL="114300" distR="114300" simplePos="0" relativeHeight="251660288" behindDoc="1" locked="0" layoutInCell="1" hidden="1" allowOverlap="1">
                <wp:simplePos x="0" y="0"/>
                <wp:positionH relativeFrom="column">
                  <wp:posOffset>-4923155</wp:posOffset>
                </wp:positionH>
                <wp:positionV relativeFrom="paragraph">
                  <wp:posOffset>-11152505</wp:posOffset>
                </wp:positionV>
                <wp:extent cx="15120620" cy="21384260"/>
                <wp:effectExtent l="0" t="0" r="0" b="0"/>
                <wp:wrapNone/>
                <wp:docPr id="3" name="KG_Shd_6"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6" o:spid="_x0000_s1026" o:spt="1" style="position:absolute;left:0pt;margin-left:-387.65pt;margin-top:-878.15pt;height:1683.8pt;width:1190.6pt;visibility:hidden;z-index:-251656192;v-text-anchor:middle;mso-width-relative:page;mso-height-relative:page;" fillcolor="#FFFFFF" filled="t" stroked="t" coordsize="21600,21600" o:gfxdata="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Gxk+TbAAAAEAEAAA8AAAAAAAAAAQAgAAAAIgAA&#10;AGRycy9kb3ducmV2LnhtbFBLAQIUABQAAAAIAIdO4kB0iQJtdwIAADwFAAAOAAAAAAAAAAEAIAAA&#10;ACoBAABkcnMvZTJvRG9jLnhtbFBLBQYAAAAABgAGAFkBAAATBgAAAAA=&#10;">
                <v:fill on="t" opacity="0f" focussize="0,0"/>
                <v:stroke weight="1pt" color="#FFFFFF [3204]" opacity="0f" miterlimit="8" joinstyle="miter"/>
                <v:imagedata o:title=""/>
                <o:lock v:ext="edit" aspectratio="f"/>
              </v:rect>
            </w:pict>
          </mc:Fallback>
        </mc:AlternateContent>
      </w:r>
      <w:r>
        <w:rPr>
          <w:rFonts w:hint="eastAsia"/>
          <w:sz w:val="32"/>
          <w:szCs w:val="32"/>
        </w:rPr>
        <w:t>202</w:t>
      </w:r>
      <w:r>
        <w:rPr>
          <w:rFonts w:hint="eastAsia"/>
          <w:sz w:val="32"/>
          <w:szCs w:val="32"/>
          <w:lang w:val="en-US" w:eastAsia="zh-CN"/>
        </w:rPr>
        <w:t>3</w:t>
      </w:r>
      <w:r>
        <w:rPr>
          <w:rFonts w:hint="eastAsia"/>
          <w:sz w:val="32"/>
          <w:szCs w:val="32"/>
        </w:rPr>
        <w:t>年</w:t>
      </w:r>
      <w:r>
        <w:rPr>
          <w:rFonts w:hint="eastAsia"/>
          <w:sz w:val="32"/>
          <w:szCs w:val="32"/>
          <w:lang w:val="en-US" w:eastAsia="zh-CN"/>
        </w:rPr>
        <w:t>1</w:t>
      </w:r>
      <w:r>
        <w:rPr>
          <w:rFonts w:hint="eastAsia"/>
          <w:sz w:val="32"/>
          <w:szCs w:val="32"/>
        </w:rPr>
        <w:t>月</w:t>
      </w:r>
      <w:r>
        <w:rPr>
          <w:rFonts w:hint="eastAsia"/>
          <w:sz w:val="32"/>
          <w:szCs w:val="32"/>
          <w:lang w:val="en-US" w:eastAsia="zh-CN"/>
        </w:rPr>
        <w:t>16</w:t>
      </w:r>
      <w:r>
        <w:rPr>
          <w:rFonts w:hint="eastAsia"/>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Y2Y4ODk1MmM3MjI5ODVlMTM2NzQ4ZDk5MDlhNmIifQ=="/>
    <w:docVar w:name="DocumentID" w:val="{4971FD7A-459E-475E-B465-484884B0C327}"/>
    <w:docVar w:name="DocumentName" w:val="六安市叶集区退役军人事务局2022年政府信息公开工作年度报告"/>
    <w:docVar w:name="KSO_WPS_MARK_KEY" w:val="679d47a0-b3da-45f2-b532-55418d4cf025"/>
  </w:docVars>
  <w:rsids>
    <w:rsidRoot w:val="703E2328"/>
    <w:rsid w:val="04305795"/>
    <w:rsid w:val="139076C8"/>
    <w:rsid w:val="14A50393"/>
    <w:rsid w:val="166C1A7C"/>
    <w:rsid w:val="187726B2"/>
    <w:rsid w:val="1E6B66E3"/>
    <w:rsid w:val="213C3352"/>
    <w:rsid w:val="224C2ACA"/>
    <w:rsid w:val="232F34CF"/>
    <w:rsid w:val="24A51F50"/>
    <w:rsid w:val="27AC35F6"/>
    <w:rsid w:val="292C49EE"/>
    <w:rsid w:val="2ABE364B"/>
    <w:rsid w:val="2CAC5D5A"/>
    <w:rsid w:val="2FE90061"/>
    <w:rsid w:val="30193C5C"/>
    <w:rsid w:val="34C86005"/>
    <w:rsid w:val="370E1BD7"/>
    <w:rsid w:val="37EA2644"/>
    <w:rsid w:val="3B3D151B"/>
    <w:rsid w:val="3C6C7B0F"/>
    <w:rsid w:val="3CCD76B3"/>
    <w:rsid w:val="3FDB08A1"/>
    <w:rsid w:val="40432720"/>
    <w:rsid w:val="43CA157C"/>
    <w:rsid w:val="450B60F8"/>
    <w:rsid w:val="45AE452E"/>
    <w:rsid w:val="4D056632"/>
    <w:rsid w:val="4F0B7849"/>
    <w:rsid w:val="4F863025"/>
    <w:rsid w:val="554433B9"/>
    <w:rsid w:val="562E202E"/>
    <w:rsid w:val="5B16084A"/>
    <w:rsid w:val="5EA318DD"/>
    <w:rsid w:val="5F3F557E"/>
    <w:rsid w:val="626A67FD"/>
    <w:rsid w:val="6A374059"/>
    <w:rsid w:val="6F173018"/>
    <w:rsid w:val="6F3B0A16"/>
    <w:rsid w:val="703E2328"/>
    <w:rsid w:val="75B23A9A"/>
    <w:rsid w:val="785E2035"/>
    <w:rsid w:val="79393B8B"/>
    <w:rsid w:val="7BDF7855"/>
    <w:rsid w:val="7C6B4943"/>
    <w:rsid w:val="7DAF4C6B"/>
    <w:rsid w:val="7F5775A8"/>
    <w:rsid w:val="7F990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仿宋_GB2312"/>
      <w:sz w:val="32"/>
      <w:szCs w:val="32"/>
    </w:rPr>
  </w:style>
  <w:style w:type="paragraph" w:styleId="3">
    <w:name w:val="Normal (Web)"/>
    <w:basedOn w:val="1"/>
    <w:semiHidden/>
    <w:unhideWhenUsed/>
    <w:qFormat/>
    <w:uiPriority w:val="99"/>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2543</Words>
  <Characters>2665</Characters>
  <Lines>0</Lines>
  <Paragraphs>0</Paragraphs>
  <TotalTime>9</TotalTime>
  <ScaleCrop>false</ScaleCrop>
  <LinksUpToDate>false</LinksUpToDate>
  <CharactersWithSpaces>2665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2022-12-20T01:02:00Z</dcterms:created>
  <dc:creator>退役军人事务局收文员马晓倩</dc:creator>
  <cp:lastModifiedBy>退役军人事务局收文员马晓倩</cp:lastModifiedBy>
  <dcterms:modified xsi:type="dcterms:W3CDTF">2023-01-17T03:07:27Z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A1C585FECA2D48C6B60E7DF8D6C9BA3C</vt:lpwstr>
  </property>
</Properties>
</file>