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金寨金叶供水有限公司叶集分公司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根据《中华人民共和国政府信息公开条例》（以下简称《条例》）</w:t>
      </w:r>
      <w:r>
        <w:rPr>
          <w:rFonts w:hint="eastAsia" w:ascii="仿宋" w:hAnsi="仿宋" w:eastAsia="仿宋" w:cs="仿宋"/>
          <w:sz w:val="32"/>
          <w:szCs w:val="32"/>
          <w:lang w:eastAsia="zh-CN"/>
        </w:rPr>
        <w:t>、《六安市政务公开办公室关于做好2022年度政府信息公开年度报告编制和发布工作的通知》（六政务公开办〔2022〕53号）以及《六安市叶集区政务公开工作领导组关于做好政府信息公开工作年度报告编制和发布工作的通知》（叶政公办〔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〕1号）的要求编制本年报。</w:t>
      </w:r>
      <w:r>
        <w:rPr>
          <w:rFonts w:hint="eastAsia" w:ascii="仿宋" w:hAnsi="仿宋" w:eastAsia="仿宋" w:cs="仿宋"/>
          <w:color w:val="auto"/>
          <w:sz w:val="32"/>
          <w:szCs w:val="32"/>
          <w:lang w:val="en-US" w:eastAsia="zh-CN"/>
        </w:rPr>
        <w:t>本年报由总体情况、主动公开政府信息情况、收到和处理政府信息公开申请情况、政府信息公开行政复议、行政诉讼情况、存在的主要问题及改进情况和其他需要报告事项。</w:t>
      </w:r>
      <w:r>
        <w:rPr>
          <w:rFonts w:hint="eastAsia" w:ascii="仿宋" w:hAnsi="仿宋" w:eastAsia="仿宋" w:cs="仿宋"/>
          <w:sz w:val="32"/>
          <w:szCs w:val="32"/>
          <w:lang w:val="en-US" w:eastAsia="zh-CN"/>
        </w:rPr>
        <w:t>本年报中所列数据的统计期限自2022年1月1日起至2022年12月31日止，通过六安市叶集区金叶供水信息公开网全文公开（https://www.ahyeji.gov.cn/public/column/6599961?type=4&amp;action=list&amp;nav=3&amp;catId=7070161）。对本年报有任何疑问，请与金叶供水叶集分公司综合办联系（地址：叶集区站前路思源市场1栋106-107；电话：0564-6496158；邮编：237431）。</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2022年，根据市、区政务公开工作要求，我公司加强组织领导，完善工作制度，强化服务意识，提高业务能力，全面做好政务公开工作</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楷体" w:hAnsi="楷体" w:eastAsia="楷体" w:cs="楷体"/>
          <w:b w:val="0"/>
          <w:bCs w:val="0"/>
          <w:i w:val="0"/>
          <w:caps w:val="0"/>
          <w:color w:val="333333"/>
          <w:spacing w:val="0"/>
          <w:sz w:val="32"/>
          <w:szCs w:val="32"/>
          <w:shd w:val="clear" w:fill="FFFFFF"/>
          <w:lang w:eastAsia="zh-CN"/>
        </w:rPr>
      </w:pPr>
      <w:r>
        <w:rPr>
          <w:rFonts w:hint="eastAsia" w:ascii="仿宋" w:hAnsi="仿宋" w:eastAsia="仿宋" w:cs="仿宋"/>
          <w:sz w:val="32"/>
          <w:szCs w:val="32"/>
          <w:lang w:eastAsia="zh-CN"/>
        </w:rPr>
        <w:t>着力优化营商环境信息公开。在做好水质检测信息公开的同时，加大用户服务、营商环境等相关政策举措的信息公开力度。积极贯彻落实区营商环境的工作要求，进一步精简村料、压缩环节，切实提高企业报装的效率和满意度。20</w:t>
      </w: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年，我司全年通过</w:t>
      </w:r>
      <w:r>
        <w:rPr>
          <w:rFonts w:hint="eastAsia" w:ascii="仿宋" w:hAnsi="仿宋" w:eastAsia="仿宋" w:cs="仿宋"/>
          <w:sz w:val="32"/>
          <w:szCs w:val="32"/>
          <w:lang w:val="en-US" w:eastAsia="zh-CN"/>
        </w:rPr>
        <w:t>六安市人民政府网站集约化平台及时、主动公开与更新政务公开信息128条，将我司机构名称、办公地址、服务热线、服务目录及服务流程等内容及时公开；发布了办事服务结果4条；供水管理4条；</w:t>
      </w:r>
      <w:r>
        <w:rPr>
          <w:rFonts w:hint="eastAsia" w:ascii="仿宋" w:hAnsi="仿宋" w:eastAsia="仿宋" w:cs="仿宋"/>
          <w:sz w:val="32"/>
          <w:szCs w:val="32"/>
          <w:lang w:eastAsia="zh-CN"/>
        </w:rPr>
        <w:t>水质检测报告</w:t>
      </w:r>
      <w:r>
        <w:rPr>
          <w:rFonts w:hint="eastAsia" w:ascii="仿宋" w:hAnsi="仿宋" w:eastAsia="仿宋" w:cs="仿宋"/>
          <w:sz w:val="32"/>
          <w:szCs w:val="32"/>
          <w:lang w:val="en-US" w:eastAsia="zh-CN"/>
        </w:rPr>
        <w:t>24条；监督投诉结果反馈及监督保障23条</w:t>
      </w:r>
      <w:r>
        <w:rPr>
          <w:rFonts w:hint="eastAsia" w:ascii="仿宋" w:hAnsi="仿宋" w:eastAsia="仿宋" w:cs="仿宋"/>
          <w:sz w:val="32"/>
          <w:szCs w:val="32"/>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40" w:firstLineChars="200"/>
        <w:textAlignment w:val="auto"/>
        <w:rPr>
          <w:rFonts w:hint="eastAsia" w:ascii="楷体" w:hAnsi="楷体" w:eastAsia="楷体" w:cs="楷体"/>
          <w:b w:val="0"/>
          <w:bCs w:val="0"/>
          <w:i w:val="0"/>
          <w:caps w:val="0"/>
          <w:color w:val="333333"/>
          <w:spacing w:val="0"/>
          <w:sz w:val="32"/>
          <w:szCs w:val="32"/>
          <w:shd w:val="clear" w:fill="FFFFFF"/>
        </w:rPr>
      </w:pPr>
      <w:r>
        <w:rPr>
          <w:rFonts w:hint="eastAsia" w:ascii="楷体" w:hAnsi="楷体" w:eastAsia="楷体" w:cs="楷体"/>
          <w:b w:val="0"/>
          <w:bCs w:val="0"/>
          <w:i w:val="0"/>
          <w:caps w:val="0"/>
          <w:color w:val="333333"/>
          <w:spacing w:val="0"/>
          <w:sz w:val="32"/>
          <w:szCs w:val="32"/>
          <w:shd w:val="clear" w:fill="FFFFFF"/>
          <w:lang w:eastAsia="zh-CN"/>
        </w:rPr>
        <w:t>（</w:t>
      </w:r>
      <w:r>
        <w:rPr>
          <w:rFonts w:hint="eastAsia" w:ascii="楷体" w:hAnsi="楷体" w:eastAsia="楷体" w:cs="楷体"/>
          <w:b w:val="0"/>
          <w:bCs w:val="0"/>
          <w:i w:val="0"/>
          <w:caps w:val="0"/>
          <w:color w:val="333333"/>
          <w:spacing w:val="0"/>
          <w:sz w:val="32"/>
          <w:szCs w:val="32"/>
          <w:shd w:val="clear" w:fill="FFFFFF"/>
          <w:lang w:val="en-US" w:eastAsia="zh-CN"/>
        </w:rPr>
        <w:t>二</w:t>
      </w:r>
      <w:r>
        <w:rPr>
          <w:rFonts w:hint="eastAsia" w:ascii="楷体" w:hAnsi="楷体" w:eastAsia="楷体" w:cs="楷体"/>
          <w:b w:val="0"/>
          <w:bCs w:val="0"/>
          <w:i w:val="0"/>
          <w:caps w:val="0"/>
          <w:color w:val="333333"/>
          <w:spacing w:val="0"/>
          <w:sz w:val="32"/>
          <w:szCs w:val="32"/>
          <w:shd w:val="clear" w:fill="FFFFFF"/>
          <w:lang w:eastAsia="zh-CN"/>
        </w:rPr>
        <w:t>）</w:t>
      </w:r>
      <w:r>
        <w:rPr>
          <w:rFonts w:hint="eastAsia" w:ascii="楷体" w:hAnsi="楷体" w:eastAsia="楷体" w:cs="楷体"/>
          <w:b w:val="0"/>
          <w:bCs w:val="0"/>
          <w:i w:val="0"/>
          <w:caps w:val="0"/>
          <w:color w:val="333333"/>
          <w:spacing w:val="0"/>
          <w:sz w:val="32"/>
          <w:szCs w:val="32"/>
          <w:shd w:val="clear" w:fill="FFFFFF"/>
        </w:rPr>
        <w:t>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40" w:firstLineChars="200"/>
        <w:textAlignment w:val="auto"/>
        <w:rPr>
          <w:rFonts w:hint="eastAsia" w:ascii="仿宋" w:hAnsi="仿宋" w:eastAsia="仿宋" w:cs="仿宋"/>
          <w:i w:val="0"/>
          <w:caps w:val="0"/>
          <w:color w:val="393939"/>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rPr>
        <w:t>主动畅通线下、线上公开渠道，</w:t>
      </w:r>
      <w:r>
        <w:rPr>
          <w:rFonts w:hint="eastAsia" w:ascii="仿宋" w:hAnsi="仿宋" w:eastAsia="仿宋" w:cs="仿宋"/>
          <w:i w:val="0"/>
          <w:caps w:val="0"/>
          <w:color w:val="333333"/>
          <w:spacing w:val="0"/>
          <w:sz w:val="32"/>
          <w:szCs w:val="32"/>
          <w:shd w:val="clear" w:fill="FFFFFF"/>
          <w:lang w:eastAsia="zh-CN"/>
        </w:rPr>
        <w:t>及时</w:t>
      </w:r>
      <w:r>
        <w:rPr>
          <w:rFonts w:hint="eastAsia" w:ascii="仿宋" w:hAnsi="仿宋" w:eastAsia="仿宋" w:cs="仿宋"/>
          <w:i w:val="0"/>
          <w:caps w:val="0"/>
          <w:color w:val="333333"/>
          <w:spacing w:val="0"/>
          <w:sz w:val="32"/>
          <w:szCs w:val="32"/>
          <w:shd w:val="clear" w:fill="FFFFFF"/>
        </w:rPr>
        <w:t>对各类信息进行公开。</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年</w:t>
      </w:r>
      <w:r>
        <w:rPr>
          <w:rFonts w:hint="eastAsia" w:ascii="仿宋" w:hAnsi="仿宋" w:eastAsia="仿宋" w:cs="仿宋"/>
          <w:i w:val="0"/>
          <w:iCs w:val="0"/>
          <w:caps w:val="0"/>
          <w:color w:val="000000"/>
          <w:spacing w:val="0"/>
          <w:sz w:val="32"/>
          <w:szCs w:val="32"/>
          <w:shd w:val="clear" w:fill="FFFFFF"/>
          <w:lang w:eastAsia="zh-CN"/>
        </w:rPr>
        <w:t>金叶供水叶集分公司</w:t>
      </w:r>
      <w:r>
        <w:rPr>
          <w:rFonts w:hint="eastAsia" w:ascii="仿宋" w:hAnsi="仿宋" w:eastAsia="仿宋" w:cs="仿宋"/>
          <w:i w:val="0"/>
          <w:iCs w:val="0"/>
          <w:caps w:val="0"/>
          <w:color w:val="000000"/>
          <w:spacing w:val="0"/>
          <w:sz w:val="32"/>
          <w:szCs w:val="32"/>
          <w:shd w:val="clear" w:fill="FFFFFF"/>
        </w:rPr>
        <w:t>未收到依申请公开。</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（三）政府信息管理</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落实政府信息公开的“三审”制度：相关负责人员负责初审，部门领导进行复审，主要负责人进行终审，终审通过后再进行发布，确保发布的内容准确、安全、高效。严格落实政府信息发布保密审查机制、程序，保证政府信息公开不得危及国家安全、公共安全、经济安全和社会稳定，2022年未发生泄密事件。</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（四）政府信息公开平台建设情况</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1、进一步强化信息发布平台建设、强化平台功能，不断丰富公开内容。</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2、加强“线上”与“线下”平台相结合的信息发布方式，根据“应公开尽公开”原则，及时、全面发布各类政务信息。</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3、认真做好微信公众号平台建设管理，及时推送节水、停水通知，发布水质检测公告</w:t>
      </w:r>
      <w:r>
        <w:rPr>
          <w:rFonts w:ascii="仿宋" w:hAnsi="仿宋" w:eastAsia="仿宋" w:cs="仿宋"/>
          <w:i w:val="0"/>
          <w:iCs w:val="0"/>
          <w:caps w:val="0"/>
          <w:color w:val="000000"/>
          <w:spacing w:val="0"/>
          <w:sz w:val="32"/>
          <w:szCs w:val="32"/>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（五）监督保障</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i w:val="0"/>
          <w:caps w:val="0"/>
          <w:color w:val="393939"/>
          <w:spacing w:val="0"/>
          <w:sz w:val="32"/>
          <w:szCs w:val="32"/>
          <w:shd w:val="clear" w:fill="FFFFFF"/>
          <w:lang w:eastAsia="zh-CN"/>
        </w:rPr>
      </w:pPr>
      <w:r>
        <w:rPr>
          <w:rFonts w:hint="eastAsia" w:ascii="仿宋" w:hAnsi="仿宋" w:eastAsia="仿宋" w:cs="仿宋"/>
          <w:sz w:val="32"/>
          <w:szCs w:val="32"/>
          <w:lang w:val="en-US" w:eastAsia="zh-CN"/>
        </w:rPr>
        <w:t>为确保政务公开工作真正落到实处，公司健全监督体系，完善监督制度，强化监督措施，加强监督检查。分管领导负责对公开内容进行审核监督，并将结果公布在公司的政务公开栏。各窗口服务部门将继续按照《社会服务承诺制》和《窗口服务部门服务规范》要求完善服务体系，本着一切为用户着想的原则，不断提高服务意识和服务效率，强化服务本领。</w:t>
      </w:r>
    </w:p>
    <w:p>
      <w:pPr>
        <w:pStyle w:val="2"/>
        <w:keepNext w:val="0"/>
        <w:keepLines w:val="0"/>
        <w:widowControl/>
        <w:suppressLineNumbers w:val="0"/>
        <w:spacing w:before="0" w:beforeAutospacing="0" w:after="0" w:afterAutospacing="0" w:line="480" w:lineRule="atLeast"/>
        <w:ind w:right="0"/>
        <w:jc w:val="both"/>
        <w:rPr>
          <w:rFonts w:hint="eastAsia" w:ascii="仿宋" w:hAnsi="仿宋" w:eastAsia="仿宋" w:cs="仿宋"/>
          <w:i w:val="0"/>
          <w:caps w:val="0"/>
          <w:color w:val="393939"/>
          <w:spacing w:val="0"/>
          <w:sz w:val="30"/>
          <w:szCs w:val="30"/>
          <w:shd w:val="clear" w:fill="FFFFFF"/>
        </w:rPr>
      </w:pPr>
      <w:r>
        <w:rPr>
          <w:rFonts w:hint="eastAsia" w:ascii="黑体" w:hAnsi="黑体" w:eastAsia="黑体" w:cs="黑体"/>
          <w:i w:val="0"/>
          <w:caps w:val="0"/>
          <w:color w:val="393939"/>
          <w:spacing w:val="0"/>
          <w:sz w:val="32"/>
          <w:szCs w:val="32"/>
          <w:shd w:val="clear" w:fill="FFFFFF"/>
          <w:lang w:eastAsia="zh-CN"/>
        </w:rPr>
        <w:t>二、主动公开政府信息情况</w:t>
      </w:r>
      <w:r>
        <w:rPr>
          <w:rFonts w:hint="eastAsia" w:ascii="黑体" w:hAnsi="黑体" w:eastAsia="黑体" w:cs="黑体"/>
          <w:i w:val="0"/>
          <w:caps w:val="0"/>
          <w:color w:val="393939"/>
          <w:spacing w:val="0"/>
          <w:sz w:val="32"/>
          <w:szCs w:val="32"/>
          <w:shd w:val="clear" w:fill="FFFFFF"/>
        </w:rPr>
        <w:t> </w:t>
      </w:r>
      <w:r>
        <w:rPr>
          <w:rFonts w:hint="eastAsia" w:ascii="仿宋" w:hAnsi="仿宋" w:eastAsia="仿宋" w:cs="仿宋"/>
          <w:i w:val="0"/>
          <w:caps w:val="0"/>
          <w:color w:val="393939"/>
          <w:spacing w:val="0"/>
          <w:sz w:val="30"/>
          <w:szCs w:val="30"/>
          <w:shd w:val="clear" w:fill="FFFFFF"/>
        </w:rPr>
        <w:t xml:space="preserve"> </w:t>
      </w:r>
    </w:p>
    <w:tbl>
      <w:tblPr>
        <w:tblStyle w:val="3"/>
        <w:tblW w:w="89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239"/>
        <w:gridCol w:w="2239"/>
        <w:gridCol w:w="2240"/>
        <w:gridCol w:w="2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5" w:hRule="atLeast"/>
          <w:jc w:val="center"/>
        </w:trPr>
        <w:tc>
          <w:tcPr>
            <w:tcW w:w="8958" w:type="dxa"/>
            <w:gridSpan w:val="4"/>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第二十条第（一）项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信息内容</w:t>
            </w:r>
          </w:p>
        </w:tc>
        <w:tc>
          <w:tcPr>
            <w:tcW w:w="2239" w:type="dxa"/>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本年</w:t>
            </w:r>
            <w:r>
              <w:rPr>
                <w:rFonts w:hint="eastAsia" w:ascii="宋体" w:hAnsi="宋体" w:eastAsia="华文中宋" w:cs="宋体"/>
                <w:kern w:val="0"/>
                <w:szCs w:val="21"/>
                <w:lang w:bidi="ar"/>
              </w:rPr>
              <w:t>制发件数</w:t>
            </w:r>
          </w:p>
        </w:tc>
        <w:tc>
          <w:tcPr>
            <w:tcW w:w="2240" w:type="dxa"/>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本年废止件数</w:t>
            </w:r>
          </w:p>
        </w:tc>
        <w:tc>
          <w:tcPr>
            <w:tcW w:w="2240" w:type="dxa"/>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现行有效件</w:t>
            </w:r>
            <w:r>
              <w:rPr>
                <w:rFonts w:hint="eastAsia" w:ascii="宋体" w:hAnsi="宋体" w:eastAsia="华文中宋" w:cs="宋体"/>
                <w:kern w:val="0"/>
                <w:szCs w:val="21"/>
                <w:lang w:bidi="ar"/>
              </w:rPr>
              <w:t>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left"/>
              <w:rPr>
                <w:rFonts w:ascii="宋体" w:hAnsi="宋体" w:eastAsia="华文中宋" w:cs="宋体"/>
                <w:color w:val="000000"/>
                <w:kern w:val="0"/>
                <w:szCs w:val="21"/>
                <w:lang w:bidi="ar"/>
              </w:rPr>
            </w:pPr>
            <w:r>
              <w:rPr>
                <w:rFonts w:hint="eastAsia" w:ascii="宋体" w:hAnsi="宋体" w:eastAsia="华文中宋" w:cs="宋体"/>
                <w:color w:val="000000"/>
                <w:kern w:val="0"/>
                <w:szCs w:val="21"/>
                <w:lang w:bidi="ar"/>
              </w:rPr>
              <w:t>规章</w:t>
            </w:r>
          </w:p>
        </w:tc>
        <w:tc>
          <w:tcPr>
            <w:tcW w:w="2239" w:type="dxa"/>
            <w:shd w:val="clear" w:color="auto" w:fill="FFFFFF"/>
            <w:tcMar>
              <w:left w:w="57" w:type="dxa"/>
              <w:right w:w="57" w:type="dxa"/>
            </w:tcMar>
            <w:vAlign w:val="center"/>
          </w:tcPr>
          <w:p>
            <w:pPr>
              <w:widowControl/>
              <w:jc w:val="center"/>
              <w:rPr>
                <w:rFonts w:ascii="宋体" w:hAnsi="宋体" w:eastAsia="华文中宋" w:cs="宋体"/>
                <w:color w:val="000000"/>
                <w:kern w:val="0"/>
                <w:szCs w:val="21"/>
                <w:lang w:bidi="ar"/>
              </w:rPr>
            </w:pPr>
            <w:r>
              <w:rPr>
                <w:rFonts w:hint="eastAsia" w:ascii="宋体" w:hAnsi="宋体" w:eastAsia="华文中宋" w:cs="宋体"/>
                <w:color w:val="000000"/>
                <w:kern w:val="0"/>
                <w:szCs w:val="21"/>
                <w:lang w:bidi="ar"/>
              </w:rPr>
              <w:t>　</w:t>
            </w:r>
            <w:r>
              <w:rPr>
                <w:rFonts w:hint="eastAsia" w:ascii="宋体" w:hAnsi="宋体" w:eastAsia="华文中宋" w:cs="宋体"/>
                <w:color w:val="000000"/>
                <w:kern w:val="0"/>
                <w:szCs w:val="21"/>
                <w:lang w:val="en-US" w:eastAsia="zh-CN" w:bidi="ar"/>
              </w:rPr>
              <w:t>0</w:t>
            </w:r>
            <w:r>
              <w:rPr>
                <w:rFonts w:hint="eastAsia" w:ascii="宋体" w:hAnsi="宋体" w:eastAsia="华文中宋" w:cs="宋体"/>
                <w:color w:val="000000"/>
                <w:kern w:val="0"/>
                <w:szCs w:val="21"/>
                <w:lang w:bidi="ar"/>
              </w:rPr>
              <w:t>　</w:t>
            </w:r>
          </w:p>
        </w:tc>
        <w:tc>
          <w:tcPr>
            <w:tcW w:w="2240" w:type="dxa"/>
            <w:shd w:val="clear" w:color="auto" w:fill="FFFFFF"/>
            <w:tcMar>
              <w:left w:w="57" w:type="dxa"/>
              <w:right w:w="57" w:type="dxa"/>
            </w:tcMar>
            <w:vAlign w:val="center"/>
          </w:tcPr>
          <w:p>
            <w:pPr>
              <w:widowControl/>
              <w:jc w:val="center"/>
              <w:rPr>
                <w:rFonts w:ascii="宋体" w:hAnsi="宋体" w:eastAsia="华文中宋" w:cs="宋体"/>
                <w:color w:val="000000"/>
                <w:kern w:val="0"/>
                <w:szCs w:val="21"/>
                <w:lang w:bidi="ar"/>
              </w:rPr>
            </w:pPr>
            <w:r>
              <w:rPr>
                <w:rFonts w:hint="eastAsia" w:ascii="宋体" w:hAnsi="宋体" w:eastAsia="华文中宋" w:cs="宋体"/>
                <w:color w:val="000000"/>
                <w:kern w:val="0"/>
                <w:szCs w:val="21"/>
                <w:lang w:val="en-US" w:eastAsia="zh-CN" w:bidi="ar"/>
              </w:rPr>
              <w:t>0</w:t>
            </w:r>
            <w:r>
              <w:rPr>
                <w:rFonts w:hint="eastAsia" w:ascii="宋体" w:hAnsi="宋体" w:eastAsia="华文中宋" w:cs="宋体"/>
                <w:color w:val="000000"/>
                <w:kern w:val="0"/>
                <w:szCs w:val="21"/>
                <w:lang w:bidi="ar"/>
              </w:rPr>
              <w:t> 　</w:t>
            </w:r>
          </w:p>
        </w:tc>
        <w:tc>
          <w:tcPr>
            <w:tcW w:w="2240" w:type="dxa"/>
            <w:shd w:val="clear" w:color="auto" w:fill="FFFFFF"/>
            <w:tcMar>
              <w:left w:w="57" w:type="dxa"/>
              <w:right w:w="57" w:type="dxa"/>
            </w:tcMar>
            <w:vAlign w:val="center"/>
          </w:tcPr>
          <w:p>
            <w:pPr>
              <w:widowControl/>
              <w:jc w:val="center"/>
              <w:rPr>
                <w:rFonts w:ascii="宋体" w:hAnsi="宋体" w:eastAsia="华文中宋" w:cs="宋体"/>
                <w:color w:val="000000"/>
                <w:kern w:val="0"/>
                <w:szCs w:val="21"/>
                <w:lang w:bidi="ar"/>
              </w:rPr>
            </w:pPr>
            <w:r>
              <w:rPr>
                <w:rFonts w:hint="eastAsia" w:ascii="宋体" w:hAnsi="宋体" w:eastAsia="华文中宋" w:cs="宋体"/>
                <w:color w:val="000000"/>
                <w:kern w:val="0"/>
                <w:szCs w:val="21"/>
                <w:lang w:val="en-US" w:eastAsia="zh-CN" w:bidi="ar"/>
              </w:rPr>
              <w:t>0</w:t>
            </w:r>
            <w:r>
              <w:rPr>
                <w:rFonts w:hint="eastAsia" w:ascii="宋体" w:hAnsi="宋体" w:eastAsia="华文中宋" w:cs="宋体"/>
                <w:color w:val="000000"/>
                <w:kern w:val="0"/>
                <w:szCs w:val="21"/>
                <w:lang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left"/>
              <w:rPr>
                <w:rFonts w:ascii="宋体" w:hAnsi="宋体" w:eastAsia="华文中宋" w:cs="宋体"/>
                <w:color w:val="000000"/>
                <w:kern w:val="0"/>
                <w:szCs w:val="21"/>
                <w:lang w:bidi="ar"/>
              </w:rPr>
            </w:pPr>
            <w:r>
              <w:rPr>
                <w:rFonts w:hint="eastAsia" w:ascii="宋体" w:hAnsi="宋体" w:eastAsia="华文中宋" w:cs="宋体"/>
                <w:color w:val="000000"/>
                <w:kern w:val="0"/>
                <w:szCs w:val="21"/>
                <w:lang w:bidi="ar"/>
              </w:rPr>
              <w:t>行政规范性文件</w:t>
            </w:r>
          </w:p>
        </w:tc>
        <w:tc>
          <w:tcPr>
            <w:tcW w:w="2239" w:type="dxa"/>
            <w:shd w:val="clear" w:color="auto" w:fill="FFFFFF"/>
            <w:tcMar>
              <w:left w:w="57" w:type="dxa"/>
              <w:right w:w="57" w:type="dxa"/>
            </w:tcMar>
            <w:vAlign w:val="center"/>
          </w:tcPr>
          <w:p>
            <w:pPr>
              <w:widowControl/>
              <w:jc w:val="center"/>
              <w:rPr>
                <w:rFonts w:hint="eastAsia" w:ascii="宋体" w:hAnsi="宋体" w:eastAsia="华文中宋" w:cs="宋体"/>
                <w:color w:val="000000"/>
                <w:kern w:val="0"/>
                <w:szCs w:val="21"/>
                <w:lang w:val="en-US" w:eastAsia="zh-CN" w:bidi="ar"/>
              </w:rPr>
            </w:pPr>
            <w:r>
              <w:rPr>
                <w:rFonts w:hint="eastAsia" w:ascii="宋体" w:hAnsi="宋体" w:eastAsia="华文中宋" w:cs="宋体"/>
                <w:color w:val="000000"/>
                <w:kern w:val="0"/>
                <w:szCs w:val="21"/>
                <w:lang w:bidi="ar"/>
              </w:rPr>
              <w:t>　</w:t>
            </w:r>
            <w:r>
              <w:rPr>
                <w:rFonts w:hint="eastAsia" w:ascii="宋体" w:hAnsi="宋体" w:eastAsia="华文中宋" w:cs="宋体"/>
                <w:color w:val="000000"/>
                <w:kern w:val="0"/>
                <w:szCs w:val="21"/>
                <w:lang w:val="en-US" w:eastAsia="zh-CN" w:bidi="ar"/>
              </w:rPr>
              <w:t>0</w:t>
            </w:r>
          </w:p>
        </w:tc>
        <w:tc>
          <w:tcPr>
            <w:tcW w:w="2240" w:type="dxa"/>
            <w:shd w:val="clear" w:color="auto" w:fill="FFFFFF"/>
            <w:tcMar>
              <w:left w:w="57" w:type="dxa"/>
              <w:right w:w="57" w:type="dxa"/>
            </w:tcMar>
            <w:vAlign w:val="center"/>
          </w:tcPr>
          <w:p>
            <w:pPr>
              <w:widowControl/>
              <w:jc w:val="center"/>
              <w:rPr>
                <w:rFonts w:hint="eastAsia" w:ascii="宋体" w:hAnsi="宋体" w:eastAsia="华文中宋" w:cs="宋体"/>
                <w:color w:val="000000"/>
                <w:kern w:val="0"/>
                <w:szCs w:val="21"/>
                <w:lang w:val="en-US" w:eastAsia="zh-CN" w:bidi="ar"/>
              </w:rPr>
            </w:pPr>
            <w:r>
              <w:rPr>
                <w:rFonts w:hint="eastAsia" w:ascii="宋体" w:hAnsi="宋体" w:eastAsia="华文中宋" w:cs="宋体"/>
                <w:color w:val="auto"/>
                <w:kern w:val="0"/>
                <w:szCs w:val="21"/>
                <w:lang w:val="en-US" w:eastAsia="zh-CN" w:bidi="ar"/>
              </w:rPr>
              <w:t>0</w:t>
            </w:r>
          </w:p>
        </w:tc>
        <w:tc>
          <w:tcPr>
            <w:tcW w:w="2240" w:type="dxa"/>
            <w:shd w:val="clear" w:color="auto" w:fill="FFFFFF"/>
            <w:tcMar>
              <w:left w:w="57" w:type="dxa"/>
              <w:right w:w="57" w:type="dxa"/>
            </w:tcMar>
            <w:vAlign w:val="center"/>
          </w:tcPr>
          <w:p>
            <w:pPr>
              <w:widowControl/>
              <w:jc w:val="center"/>
              <w:rPr>
                <w:rFonts w:ascii="宋体" w:hAnsi="宋体" w:eastAsia="华文中宋" w:cs="宋体"/>
                <w:color w:val="000000"/>
                <w:kern w:val="0"/>
                <w:szCs w:val="21"/>
                <w:lang w:bidi="ar"/>
              </w:rPr>
            </w:pPr>
            <w:r>
              <w:rPr>
                <w:rFonts w:hint="eastAsia" w:ascii="宋体" w:hAnsi="宋体" w:eastAsia="华文中宋" w:cs="宋体"/>
                <w:color w:val="000000"/>
                <w:kern w:val="0"/>
                <w:szCs w:val="21"/>
                <w:lang w:val="en-US" w:eastAsia="zh-CN" w:bidi="ar"/>
              </w:rPr>
              <w:t>0</w:t>
            </w:r>
            <w:r>
              <w:rPr>
                <w:rFonts w:ascii="宋体" w:hAnsi="宋体" w:eastAsia="华文中宋" w:cs="宋体"/>
                <w:color w:val="000000"/>
                <w:kern w:val="0"/>
                <w:szCs w:val="21"/>
                <w:lang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958" w:type="dxa"/>
            <w:gridSpan w:val="4"/>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第二十条第（五）项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信息内容</w:t>
            </w:r>
          </w:p>
        </w:tc>
        <w:tc>
          <w:tcPr>
            <w:tcW w:w="6719" w:type="dxa"/>
            <w:gridSpan w:val="3"/>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本年处理决定数量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left"/>
              <w:rPr>
                <w:rFonts w:eastAsia="华文中宋"/>
                <w:szCs w:val="21"/>
              </w:rPr>
            </w:pPr>
            <w:r>
              <w:rPr>
                <w:rFonts w:hint="eastAsia" w:ascii="宋体" w:hAnsi="宋体" w:eastAsia="华文中宋" w:cs="宋体"/>
                <w:color w:val="000000"/>
                <w:kern w:val="0"/>
                <w:szCs w:val="21"/>
                <w:lang w:bidi="ar"/>
              </w:rPr>
              <w:t>行政许可</w:t>
            </w:r>
          </w:p>
        </w:tc>
        <w:tc>
          <w:tcPr>
            <w:tcW w:w="6719" w:type="dxa"/>
            <w:gridSpan w:val="3"/>
            <w:shd w:val="clear" w:color="auto" w:fill="FFFFFF"/>
            <w:tcMar>
              <w:left w:w="57" w:type="dxa"/>
              <w:right w:w="57" w:type="dxa"/>
            </w:tcMar>
            <w:vAlign w:val="center"/>
          </w:tcPr>
          <w:p>
            <w:pPr>
              <w:widowControl/>
              <w:jc w:val="center"/>
              <w:rPr>
                <w:rFonts w:hint="eastAsia" w:eastAsia="华文中宋"/>
                <w:szCs w:val="21"/>
                <w:lang w:val="en-US" w:eastAsia="zh-CN"/>
              </w:rPr>
            </w:pPr>
            <w:r>
              <w:rPr>
                <w:rFonts w:hint="eastAsia" w:ascii="Calibri" w:hAnsi="Calibri" w:eastAsia="华文中宋" w:cs="Calibri"/>
                <w:kern w:val="0"/>
                <w:szCs w:val="21"/>
                <w:lang w:val="en-US" w:eastAsia="zh-CN"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958" w:type="dxa"/>
            <w:gridSpan w:val="4"/>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第二十条第（六）项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信息内容</w:t>
            </w:r>
          </w:p>
        </w:tc>
        <w:tc>
          <w:tcPr>
            <w:tcW w:w="6719" w:type="dxa"/>
            <w:gridSpan w:val="3"/>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本年处理决定数量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left"/>
              <w:rPr>
                <w:rFonts w:ascii="宋体" w:hAnsi="宋体" w:eastAsia="华文中宋" w:cs="宋体"/>
                <w:color w:val="000000"/>
                <w:kern w:val="0"/>
                <w:szCs w:val="21"/>
                <w:lang w:bidi="ar"/>
              </w:rPr>
            </w:pPr>
            <w:r>
              <w:rPr>
                <w:rFonts w:hint="eastAsia" w:ascii="宋体" w:hAnsi="宋体" w:eastAsia="华文中宋" w:cs="宋体"/>
                <w:color w:val="000000"/>
                <w:kern w:val="0"/>
                <w:szCs w:val="21"/>
                <w:lang w:bidi="ar"/>
              </w:rPr>
              <w:t>行政处罚</w:t>
            </w:r>
          </w:p>
        </w:tc>
        <w:tc>
          <w:tcPr>
            <w:tcW w:w="6719" w:type="dxa"/>
            <w:gridSpan w:val="3"/>
            <w:shd w:val="clear" w:color="auto" w:fill="FFFFFF"/>
            <w:tcMar>
              <w:left w:w="57" w:type="dxa"/>
              <w:right w:w="57" w:type="dxa"/>
            </w:tcMar>
            <w:vAlign w:val="center"/>
          </w:tcPr>
          <w:p>
            <w:pPr>
              <w:widowControl/>
              <w:jc w:val="center"/>
              <w:rPr>
                <w:rFonts w:ascii="宋体" w:hAnsi="宋体" w:eastAsia="华文中宋" w:cs="宋体"/>
                <w:color w:val="000000"/>
                <w:kern w:val="0"/>
                <w:szCs w:val="21"/>
                <w:lang w:bidi="ar"/>
              </w:rPr>
            </w:pPr>
            <w:r>
              <w:rPr>
                <w:rFonts w:hint="eastAsia" w:ascii="宋体" w:hAnsi="宋体" w:eastAsia="华文中宋" w:cs="宋体"/>
                <w:color w:val="000000"/>
                <w:kern w:val="0"/>
                <w:szCs w:val="21"/>
                <w:lang w:val="en-US" w:eastAsia="zh-CN" w:bidi="ar"/>
              </w:rPr>
              <w:t>0</w:t>
            </w:r>
            <w:r>
              <w:rPr>
                <w:rFonts w:hint="eastAsia" w:ascii="宋体" w:hAnsi="宋体" w:eastAsia="华文中宋" w:cs="宋体"/>
                <w:color w:val="000000"/>
                <w:kern w:val="0"/>
                <w:szCs w:val="21"/>
                <w:lang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left"/>
              <w:rPr>
                <w:rFonts w:ascii="宋体" w:hAnsi="宋体" w:eastAsia="华文中宋" w:cs="宋体"/>
                <w:color w:val="000000"/>
                <w:kern w:val="0"/>
                <w:szCs w:val="21"/>
                <w:lang w:bidi="ar"/>
              </w:rPr>
            </w:pPr>
            <w:r>
              <w:rPr>
                <w:rFonts w:hint="eastAsia" w:ascii="宋体" w:hAnsi="宋体" w:eastAsia="华文中宋" w:cs="宋体"/>
                <w:color w:val="000000"/>
                <w:kern w:val="0"/>
                <w:szCs w:val="21"/>
                <w:lang w:bidi="ar"/>
              </w:rPr>
              <w:t>行政强制</w:t>
            </w:r>
          </w:p>
        </w:tc>
        <w:tc>
          <w:tcPr>
            <w:tcW w:w="6719" w:type="dxa"/>
            <w:gridSpan w:val="3"/>
            <w:shd w:val="clear" w:color="auto" w:fill="FFFFFF"/>
            <w:tcMar>
              <w:left w:w="57" w:type="dxa"/>
              <w:right w:w="57" w:type="dxa"/>
            </w:tcMar>
            <w:vAlign w:val="center"/>
          </w:tcPr>
          <w:p>
            <w:pPr>
              <w:widowControl/>
              <w:jc w:val="center"/>
              <w:rPr>
                <w:rFonts w:ascii="宋体" w:hAnsi="宋体" w:eastAsia="华文中宋" w:cs="宋体"/>
                <w:color w:val="000000"/>
                <w:kern w:val="0"/>
                <w:szCs w:val="21"/>
                <w:lang w:bidi="ar"/>
              </w:rPr>
            </w:pPr>
            <w:r>
              <w:rPr>
                <w:rFonts w:hint="eastAsia" w:ascii="宋体" w:hAnsi="宋体" w:eastAsia="华文中宋" w:cs="宋体"/>
                <w:color w:val="000000"/>
                <w:kern w:val="0"/>
                <w:szCs w:val="21"/>
                <w:lang w:val="en-US" w:eastAsia="zh-CN" w:bidi="ar"/>
              </w:rPr>
              <w:t>0</w:t>
            </w:r>
            <w:r>
              <w:rPr>
                <w:rFonts w:hint="eastAsia" w:ascii="宋体" w:hAnsi="宋体" w:eastAsia="华文中宋" w:cs="宋体"/>
                <w:color w:val="000000"/>
                <w:kern w:val="0"/>
                <w:szCs w:val="21"/>
                <w:lang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958" w:type="dxa"/>
            <w:gridSpan w:val="4"/>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第二十条第（八）项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信息内容</w:t>
            </w:r>
          </w:p>
        </w:tc>
        <w:tc>
          <w:tcPr>
            <w:tcW w:w="6719" w:type="dxa"/>
            <w:gridSpan w:val="3"/>
            <w:shd w:val="clear" w:color="auto" w:fill="FFFFFF"/>
            <w:tcMar>
              <w:left w:w="57" w:type="dxa"/>
              <w:right w:w="57" w:type="dxa"/>
            </w:tcMar>
            <w:vAlign w:val="center"/>
          </w:tcPr>
          <w:p>
            <w:pPr>
              <w:widowControl/>
              <w:jc w:val="center"/>
              <w:rPr>
                <w:rFonts w:eastAsia="华文中宋"/>
                <w:szCs w:val="21"/>
              </w:rPr>
            </w:pPr>
            <w:r>
              <w:rPr>
                <w:rFonts w:hint="eastAsia" w:ascii="宋体" w:hAnsi="宋体" w:eastAsia="华文中宋" w:cs="宋体"/>
                <w:color w:val="000000"/>
                <w:kern w:val="0"/>
                <w:szCs w:val="21"/>
                <w:lang w:bidi="ar"/>
              </w:rPr>
              <w:t>本年收费金额（单位：万元）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39" w:type="dxa"/>
            <w:shd w:val="clear" w:color="auto" w:fill="FFFFFF"/>
            <w:tcMar>
              <w:left w:w="57" w:type="dxa"/>
              <w:right w:w="57" w:type="dxa"/>
            </w:tcMar>
            <w:vAlign w:val="center"/>
          </w:tcPr>
          <w:p>
            <w:pPr>
              <w:widowControl/>
              <w:jc w:val="left"/>
              <w:rPr>
                <w:rFonts w:eastAsia="华文中宋"/>
                <w:szCs w:val="21"/>
              </w:rPr>
            </w:pPr>
            <w:r>
              <w:rPr>
                <w:rFonts w:hint="eastAsia" w:ascii="宋体" w:hAnsi="宋体" w:eastAsia="华文中宋" w:cs="宋体"/>
                <w:color w:val="000000"/>
                <w:kern w:val="0"/>
                <w:szCs w:val="21"/>
                <w:lang w:bidi="ar"/>
              </w:rPr>
              <w:t>行政事业性收费</w:t>
            </w:r>
          </w:p>
        </w:tc>
        <w:tc>
          <w:tcPr>
            <w:tcW w:w="6719" w:type="dxa"/>
            <w:gridSpan w:val="3"/>
            <w:shd w:val="clear" w:color="auto" w:fill="FFFFFF"/>
            <w:tcMar>
              <w:left w:w="57" w:type="dxa"/>
              <w:right w:w="57" w:type="dxa"/>
            </w:tcMar>
            <w:vAlign w:val="center"/>
          </w:tcPr>
          <w:p>
            <w:pPr>
              <w:jc w:val="center"/>
              <w:rPr>
                <w:rFonts w:hint="eastAsia" w:ascii="宋体" w:eastAsia="华文中宋"/>
                <w:szCs w:val="21"/>
                <w:lang w:val="en-US" w:eastAsia="zh-CN"/>
              </w:rPr>
            </w:pPr>
            <w:r>
              <w:rPr>
                <w:rFonts w:hint="eastAsia" w:ascii="宋体" w:eastAsia="华文中宋"/>
                <w:szCs w:val="21"/>
                <w:lang w:val="en-US" w:eastAsia="zh-CN"/>
              </w:rPr>
              <w:t>0</w:t>
            </w:r>
          </w:p>
        </w:tc>
      </w:tr>
    </w:tbl>
    <w:p>
      <w:pPr>
        <w:pStyle w:val="2"/>
        <w:keepNext w:val="0"/>
        <w:keepLines w:val="0"/>
        <w:widowControl/>
        <w:numPr>
          <w:ilvl w:val="0"/>
          <w:numId w:val="0"/>
        </w:numPr>
        <w:suppressLineNumbers w:val="0"/>
        <w:spacing w:before="0" w:beforeAutospacing="0" w:after="0" w:afterAutospacing="0" w:line="480" w:lineRule="atLeast"/>
        <w:ind w:right="0" w:rightChars="0"/>
        <w:jc w:val="both"/>
        <w:rPr>
          <w:rFonts w:hint="eastAsia" w:ascii="Times New Roman" w:hAnsi="Times New Roman" w:eastAsia="黑体" w:cs="Times New Roman"/>
          <w:sz w:val="32"/>
          <w:szCs w:val="32"/>
          <w:lang w:eastAsia="zh-CN"/>
        </w:rPr>
      </w:pPr>
    </w:p>
    <w:p>
      <w:pPr>
        <w:pStyle w:val="2"/>
        <w:keepNext w:val="0"/>
        <w:keepLines w:val="0"/>
        <w:widowControl/>
        <w:numPr>
          <w:ilvl w:val="0"/>
          <w:numId w:val="0"/>
        </w:numPr>
        <w:suppressLineNumbers w:val="0"/>
        <w:spacing w:before="0" w:beforeAutospacing="0" w:after="0" w:afterAutospacing="0" w:line="480" w:lineRule="atLeast"/>
        <w:ind w:right="0" w:rightChars="0"/>
        <w:jc w:val="both"/>
        <w:rPr>
          <w:rFonts w:hint="eastAsia" w:ascii="Times New Roman" w:hAnsi="Times New Roman" w:eastAsia="黑体" w:cs="Times New Roman"/>
          <w:sz w:val="32"/>
          <w:szCs w:val="32"/>
          <w:lang w:eastAsia="zh-CN"/>
        </w:rPr>
      </w:pPr>
    </w:p>
    <w:p>
      <w:pPr>
        <w:pStyle w:val="2"/>
        <w:keepNext w:val="0"/>
        <w:keepLines w:val="0"/>
        <w:widowControl/>
        <w:numPr>
          <w:ilvl w:val="0"/>
          <w:numId w:val="0"/>
        </w:numPr>
        <w:suppressLineNumbers w:val="0"/>
        <w:spacing w:before="0" w:beforeAutospacing="0" w:after="0" w:afterAutospacing="0" w:line="480" w:lineRule="atLeast"/>
        <w:ind w:right="0" w:rightChars="0"/>
        <w:jc w:val="both"/>
        <w:rPr>
          <w:rFonts w:hint="eastAsia" w:ascii="Times New Roman" w:hAnsi="Times New Roman" w:eastAsia="黑体" w:cs="Times New Roman"/>
          <w:sz w:val="32"/>
          <w:szCs w:val="32"/>
          <w:lang w:eastAsia="zh-CN"/>
        </w:rPr>
      </w:pPr>
    </w:p>
    <w:p>
      <w:pPr>
        <w:pStyle w:val="2"/>
        <w:keepNext w:val="0"/>
        <w:keepLines w:val="0"/>
        <w:widowControl/>
        <w:numPr>
          <w:ilvl w:val="0"/>
          <w:numId w:val="0"/>
        </w:numPr>
        <w:suppressLineNumbers w:val="0"/>
        <w:spacing w:before="0" w:beforeAutospacing="0" w:after="0" w:afterAutospacing="0" w:line="480" w:lineRule="atLeast"/>
        <w:ind w:right="0" w:rightChars="0"/>
        <w:jc w:val="both"/>
        <w:rPr>
          <w:rFonts w:hint="eastAsia" w:ascii="Times New Roman" w:hAnsi="Times New Roman" w:eastAsia="黑体" w:cs="Times New Roman"/>
          <w:sz w:val="32"/>
          <w:szCs w:val="32"/>
          <w:lang w:eastAsia="zh-CN"/>
        </w:rPr>
      </w:pPr>
    </w:p>
    <w:p>
      <w:pPr>
        <w:pStyle w:val="2"/>
        <w:keepNext w:val="0"/>
        <w:keepLines w:val="0"/>
        <w:widowControl/>
        <w:numPr>
          <w:ilvl w:val="0"/>
          <w:numId w:val="0"/>
        </w:numPr>
        <w:suppressLineNumbers w:val="0"/>
        <w:spacing w:before="0" w:beforeAutospacing="0" w:after="0" w:afterAutospacing="0" w:line="480" w:lineRule="atLeast"/>
        <w:ind w:right="0" w:rightChars="0"/>
        <w:jc w:val="both"/>
        <w:rPr>
          <w:rFonts w:hint="eastAsia" w:ascii="Times New Roman" w:hAnsi="Times New Roman" w:eastAsia="黑体" w:cs="Times New Roman"/>
          <w:sz w:val="32"/>
          <w:szCs w:val="32"/>
          <w:lang w:eastAsia="zh-CN"/>
        </w:rPr>
      </w:pPr>
    </w:p>
    <w:p>
      <w:pPr>
        <w:pStyle w:val="2"/>
        <w:keepNext w:val="0"/>
        <w:keepLines w:val="0"/>
        <w:widowControl/>
        <w:numPr>
          <w:ilvl w:val="0"/>
          <w:numId w:val="0"/>
        </w:numPr>
        <w:suppressLineNumbers w:val="0"/>
        <w:spacing w:before="0" w:beforeAutospacing="0" w:after="0" w:afterAutospacing="0" w:line="480" w:lineRule="atLeast"/>
        <w:ind w:right="0" w:rightChars="0"/>
        <w:jc w:val="both"/>
        <w:rPr>
          <w:rFonts w:hint="eastAsia" w:ascii="Times New Roman" w:hAnsi="Times New Roman" w:eastAsia="黑体" w:cs="Times New Roman"/>
          <w:sz w:val="32"/>
          <w:szCs w:val="32"/>
          <w:lang w:eastAsia="zh-CN"/>
        </w:rPr>
      </w:pPr>
    </w:p>
    <w:p>
      <w:pPr>
        <w:pStyle w:val="2"/>
        <w:keepNext w:val="0"/>
        <w:keepLines w:val="0"/>
        <w:widowControl/>
        <w:numPr>
          <w:ilvl w:val="0"/>
          <w:numId w:val="0"/>
        </w:numPr>
        <w:suppressLineNumbers w:val="0"/>
        <w:spacing w:before="0" w:beforeAutospacing="0" w:after="0" w:afterAutospacing="0" w:line="480" w:lineRule="atLeast"/>
        <w:ind w:right="0" w:rightChars="0"/>
        <w:jc w:val="both"/>
        <w:rPr>
          <w:rFonts w:hint="eastAsia" w:ascii="Times New Roman" w:hAnsi="Times New Roman" w:eastAsia="黑体" w:cs="Times New Roman"/>
          <w:sz w:val="32"/>
          <w:szCs w:val="32"/>
          <w:lang w:eastAsia="zh-CN"/>
        </w:rPr>
      </w:pPr>
    </w:p>
    <w:p>
      <w:pPr>
        <w:pStyle w:val="2"/>
        <w:keepNext w:val="0"/>
        <w:keepLines w:val="0"/>
        <w:widowControl/>
        <w:numPr>
          <w:ilvl w:val="0"/>
          <w:numId w:val="0"/>
        </w:numPr>
        <w:suppressLineNumbers w:val="0"/>
        <w:spacing w:before="0" w:beforeAutospacing="0" w:after="0" w:afterAutospacing="0" w:line="480" w:lineRule="atLeast"/>
        <w:ind w:right="0" w:rightChars="0"/>
        <w:jc w:val="both"/>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三、</w:t>
      </w:r>
      <w:r>
        <w:rPr>
          <w:rFonts w:hint="eastAsia" w:ascii="Times New Roman" w:hAnsi="Times New Roman" w:eastAsia="黑体" w:cs="Times New Roman"/>
          <w:sz w:val="32"/>
          <w:szCs w:val="32"/>
        </w:rPr>
        <w:t>收到和处理政府信息公开申请情况</w:t>
      </w:r>
    </w:p>
    <w:tbl>
      <w:tblPr>
        <w:tblStyle w:val="3"/>
        <w:tblW w:w="88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52"/>
        <w:gridCol w:w="2913"/>
        <w:gridCol w:w="622"/>
        <w:gridCol w:w="622"/>
        <w:gridCol w:w="622"/>
        <w:gridCol w:w="622"/>
        <w:gridCol w:w="622"/>
        <w:gridCol w:w="622"/>
        <w:gridCol w:w="6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462" w:type="dxa"/>
            <w:gridSpan w:val="3"/>
            <w:vMerge w:val="restart"/>
            <w:tcMar>
              <w:left w:w="108" w:type="dxa"/>
              <w:right w:w="108" w:type="dxa"/>
            </w:tcMar>
            <w:vAlign w:val="center"/>
          </w:tcPr>
          <w:p>
            <w:pPr>
              <w:widowControl/>
              <w:spacing w:line="280" w:lineRule="exact"/>
              <w:jc w:val="left"/>
              <w:rPr>
                <w:rFonts w:eastAsia="华文中宋"/>
                <w:szCs w:val="21"/>
              </w:rPr>
            </w:pPr>
            <w:r>
              <w:rPr>
                <w:rFonts w:eastAsia="华文中宋" w:cs="楷体"/>
                <w:kern w:val="0"/>
                <w:szCs w:val="21"/>
                <w:lang w:bidi="ar"/>
              </w:rPr>
              <w:t>（本列数据的勾稽关系为：第一项加第二项之和，等于第三项加第四项之和）</w:t>
            </w:r>
          </w:p>
        </w:tc>
        <w:tc>
          <w:tcPr>
            <w:tcW w:w="4345" w:type="dxa"/>
            <w:gridSpan w:val="7"/>
            <w:tcMar>
              <w:left w:w="57" w:type="dxa"/>
              <w:right w:w="57" w:type="dxa"/>
            </w:tcMar>
            <w:vAlign w:val="center"/>
          </w:tcPr>
          <w:p>
            <w:pPr>
              <w:widowControl/>
              <w:spacing w:line="280" w:lineRule="exact"/>
              <w:jc w:val="center"/>
              <w:rPr>
                <w:rFonts w:eastAsia="华文中宋"/>
                <w:szCs w:val="21"/>
              </w:rPr>
            </w:pPr>
            <w:r>
              <w:rPr>
                <w:rFonts w:hint="eastAsia" w:eastAsia="华文中宋" w:cs="宋体"/>
                <w:kern w:val="0"/>
                <w:szCs w:val="21"/>
                <w:lang w:bidi="ar"/>
              </w:rPr>
              <w:t>申请人情况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462" w:type="dxa"/>
            <w:gridSpan w:val="3"/>
            <w:vMerge w:val="continue"/>
            <w:tcMar>
              <w:left w:w="108" w:type="dxa"/>
              <w:right w:w="108" w:type="dxa"/>
            </w:tcMar>
            <w:vAlign w:val="center"/>
          </w:tcPr>
          <w:p>
            <w:pPr>
              <w:spacing w:line="280" w:lineRule="exact"/>
              <w:rPr>
                <w:rFonts w:eastAsia="华文中宋"/>
                <w:szCs w:val="21"/>
              </w:rPr>
            </w:pPr>
          </w:p>
        </w:tc>
        <w:tc>
          <w:tcPr>
            <w:tcW w:w="622" w:type="dxa"/>
            <w:vMerge w:val="restart"/>
            <w:tcMar>
              <w:left w:w="57" w:type="dxa"/>
              <w:right w:w="57" w:type="dxa"/>
            </w:tcMar>
            <w:vAlign w:val="center"/>
          </w:tcPr>
          <w:p>
            <w:pPr>
              <w:widowControl/>
              <w:spacing w:line="280" w:lineRule="exact"/>
              <w:jc w:val="center"/>
              <w:rPr>
                <w:rFonts w:eastAsia="华文中宋"/>
                <w:szCs w:val="21"/>
              </w:rPr>
            </w:pPr>
            <w:r>
              <w:rPr>
                <w:rFonts w:hint="eastAsia" w:eastAsia="华文中宋" w:cs="宋体"/>
                <w:kern w:val="0"/>
                <w:szCs w:val="21"/>
                <w:lang w:bidi="ar"/>
              </w:rPr>
              <w:t>自然人</w:t>
            </w:r>
          </w:p>
        </w:tc>
        <w:tc>
          <w:tcPr>
            <w:tcW w:w="3110" w:type="dxa"/>
            <w:gridSpan w:val="5"/>
            <w:tcMar>
              <w:left w:w="57" w:type="dxa"/>
              <w:right w:w="57" w:type="dxa"/>
            </w:tcMar>
            <w:vAlign w:val="center"/>
          </w:tcPr>
          <w:p>
            <w:pPr>
              <w:widowControl/>
              <w:spacing w:line="280" w:lineRule="exact"/>
              <w:jc w:val="center"/>
              <w:rPr>
                <w:rFonts w:eastAsia="华文中宋"/>
                <w:szCs w:val="21"/>
              </w:rPr>
            </w:pPr>
            <w:r>
              <w:rPr>
                <w:rFonts w:hint="eastAsia" w:eastAsia="华文中宋" w:cs="宋体"/>
                <w:kern w:val="0"/>
                <w:szCs w:val="21"/>
                <w:lang w:bidi="ar"/>
              </w:rPr>
              <w:t>法人或其他组织</w:t>
            </w:r>
          </w:p>
        </w:tc>
        <w:tc>
          <w:tcPr>
            <w:tcW w:w="613" w:type="dxa"/>
            <w:vMerge w:val="restart"/>
            <w:tcMar>
              <w:left w:w="57" w:type="dxa"/>
              <w:right w:w="57" w:type="dxa"/>
            </w:tcMar>
            <w:vAlign w:val="center"/>
          </w:tcPr>
          <w:p>
            <w:pPr>
              <w:widowControl/>
              <w:spacing w:line="280" w:lineRule="exact"/>
              <w:jc w:val="center"/>
              <w:rPr>
                <w:rFonts w:eastAsia="华文中宋"/>
                <w:szCs w:val="21"/>
              </w:rPr>
            </w:pPr>
            <w:r>
              <w:rPr>
                <w:rFonts w:hint="eastAsia" w:eastAsia="华文中宋" w:cs="宋体"/>
                <w:kern w:val="0"/>
                <w:szCs w:val="21"/>
                <w:lang w:bidi="ar"/>
              </w:rPr>
              <w:t>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462" w:type="dxa"/>
            <w:gridSpan w:val="3"/>
            <w:vMerge w:val="continue"/>
            <w:tcMar>
              <w:left w:w="108" w:type="dxa"/>
              <w:right w:w="108" w:type="dxa"/>
            </w:tcMar>
            <w:vAlign w:val="center"/>
          </w:tcPr>
          <w:p>
            <w:pPr>
              <w:spacing w:line="280" w:lineRule="exact"/>
              <w:rPr>
                <w:rFonts w:eastAsia="华文中宋"/>
                <w:szCs w:val="21"/>
              </w:rPr>
            </w:pPr>
          </w:p>
        </w:tc>
        <w:tc>
          <w:tcPr>
            <w:tcW w:w="622" w:type="dxa"/>
            <w:vMerge w:val="continue"/>
            <w:tcMar>
              <w:left w:w="57" w:type="dxa"/>
              <w:right w:w="57" w:type="dxa"/>
            </w:tcMar>
            <w:vAlign w:val="center"/>
          </w:tcPr>
          <w:p>
            <w:pPr>
              <w:spacing w:line="280" w:lineRule="exact"/>
              <w:rPr>
                <w:rFonts w:eastAsia="华文中宋"/>
                <w:szCs w:val="21"/>
              </w:rPr>
            </w:pPr>
          </w:p>
        </w:tc>
        <w:tc>
          <w:tcPr>
            <w:tcW w:w="622" w:type="dxa"/>
            <w:tcMar>
              <w:left w:w="57" w:type="dxa"/>
              <w:right w:w="57" w:type="dxa"/>
            </w:tcMar>
            <w:vAlign w:val="center"/>
          </w:tcPr>
          <w:p>
            <w:pPr>
              <w:widowControl/>
              <w:spacing w:line="280" w:lineRule="exact"/>
              <w:jc w:val="center"/>
              <w:rPr>
                <w:rFonts w:eastAsia="华文中宋"/>
                <w:szCs w:val="21"/>
              </w:rPr>
            </w:pPr>
            <w:r>
              <w:rPr>
                <w:rFonts w:hint="eastAsia" w:eastAsia="华文中宋" w:cs="宋体"/>
                <w:kern w:val="0"/>
                <w:szCs w:val="21"/>
                <w:lang w:bidi="ar"/>
              </w:rPr>
              <w:t>商业</w:t>
            </w:r>
          </w:p>
          <w:p>
            <w:pPr>
              <w:widowControl/>
              <w:spacing w:line="280" w:lineRule="exact"/>
              <w:jc w:val="center"/>
              <w:rPr>
                <w:rFonts w:eastAsia="华文中宋"/>
                <w:szCs w:val="21"/>
              </w:rPr>
            </w:pPr>
            <w:r>
              <w:rPr>
                <w:rFonts w:hint="eastAsia" w:eastAsia="华文中宋" w:cs="宋体"/>
                <w:kern w:val="0"/>
                <w:szCs w:val="21"/>
                <w:lang w:bidi="ar"/>
              </w:rPr>
              <w:t>企业</w:t>
            </w:r>
          </w:p>
        </w:tc>
        <w:tc>
          <w:tcPr>
            <w:tcW w:w="622" w:type="dxa"/>
            <w:tcMar>
              <w:left w:w="57" w:type="dxa"/>
              <w:right w:w="57" w:type="dxa"/>
            </w:tcMar>
            <w:vAlign w:val="center"/>
          </w:tcPr>
          <w:p>
            <w:pPr>
              <w:widowControl/>
              <w:spacing w:line="280" w:lineRule="exact"/>
              <w:jc w:val="center"/>
              <w:rPr>
                <w:rFonts w:eastAsia="华文中宋"/>
                <w:szCs w:val="21"/>
              </w:rPr>
            </w:pPr>
            <w:r>
              <w:rPr>
                <w:rFonts w:hint="eastAsia" w:eastAsia="华文中宋" w:cs="宋体"/>
                <w:kern w:val="0"/>
                <w:szCs w:val="21"/>
                <w:lang w:bidi="ar"/>
              </w:rPr>
              <w:t>科研</w:t>
            </w:r>
          </w:p>
          <w:p>
            <w:pPr>
              <w:widowControl/>
              <w:spacing w:line="280" w:lineRule="exact"/>
              <w:jc w:val="center"/>
              <w:rPr>
                <w:rFonts w:eastAsia="华文中宋"/>
                <w:szCs w:val="21"/>
              </w:rPr>
            </w:pPr>
            <w:r>
              <w:rPr>
                <w:rFonts w:hint="eastAsia" w:eastAsia="华文中宋" w:cs="宋体"/>
                <w:kern w:val="0"/>
                <w:szCs w:val="21"/>
                <w:lang w:bidi="ar"/>
              </w:rPr>
              <w:t>机构</w:t>
            </w:r>
          </w:p>
        </w:tc>
        <w:tc>
          <w:tcPr>
            <w:tcW w:w="622" w:type="dxa"/>
            <w:tcMar>
              <w:left w:w="57" w:type="dxa"/>
              <w:right w:w="57" w:type="dxa"/>
            </w:tcMar>
            <w:vAlign w:val="center"/>
          </w:tcPr>
          <w:p>
            <w:pPr>
              <w:widowControl/>
              <w:spacing w:line="280" w:lineRule="exact"/>
              <w:jc w:val="center"/>
              <w:rPr>
                <w:rFonts w:eastAsia="华文中宋"/>
                <w:szCs w:val="21"/>
              </w:rPr>
            </w:pPr>
            <w:r>
              <w:rPr>
                <w:rFonts w:hint="eastAsia" w:eastAsia="华文中宋" w:cs="宋体"/>
                <w:kern w:val="0"/>
                <w:szCs w:val="21"/>
                <w:lang w:bidi="ar"/>
              </w:rPr>
              <w:t>社会公益组织</w:t>
            </w:r>
          </w:p>
        </w:tc>
        <w:tc>
          <w:tcPr>
            <w:tcW w:w="622" w:type="dxa"/>
            <w:tcMar>
              <w:left w:w="57" w:type="dxa"/>
              <w:right w:w="57" w:type="dxa"/>
            </w:tcMar>
            <w:vAlign w:val="center"/>
          </w:tcPr>
          <w:p>
            <w:pPr>
              <w:widowControl/>
              <w:spacing w:line="280" w:lineRule="exact"/>
              <w:jc w:val="center"/>
              <w:rPr>
                <w:rFonts w:eastAsia="华文中宋"/>
                <w:szCs w:val="21"/>
              </w:rPr>
            </w:pPr>
            <w:r>
              <w:rPr>
                <w:rFonts w:hint="eastAsia" w:eastAsia="华文中宋" w:cs="宋体"/>
                <w:kern w:val="0"/>
                <w:szCs w:val="21"/>
                <w:lang w:bidi="ar"/>
              </w:rPr>
              <w:t>法律服务机构</w:t>
            </w:r>
          </w:p>
        </w:tc>
        <w:tc>
          <w:tcPr>
            <w:tcW w:w="622" w:type="dxa"/>
            <w:tcMar>
              <w:left w:w="57" w:type="dxa"/>
              <w:right w:w="57" w:type="dxa"/>
            </w:tcMar>
            <w:vAlign w:val="center"/>
          </w:tcPr>
          <w:p>
            <w:pPr>
              <w:widowControl/>
              <w:spacing w:line="280" w:lineRule="exact"/>
              <w:jc w:val="center"/>
              <w:rPr>
                <w:rFonts w:eastAsia="华文中宋"/>
                <w:szCs w:val="21"/>
              </w:rPr>
            </w:pPr>
            <w:r>
              <w:rPr>
                <w:rFonts w:hint="eastAsia" w:eastAsia="华文中宋" w:cs="宋体"/>
                <w:kern w:val="0"/>
                <w:szCs w:val="21"/>
                <w:lang w:bidi="ar"/>
              </w:rPr>
              <w:t>其他</w:t>
            </w:r>
          </w:p>
        </w:tc>
        <w:tc>
          <w:tcPr>
            <w:tcW w:w="613" w:type="dxa"/>
            <w:vMerge w:val="continue"/>
            <w:tcMar>
              <w:left w:w="57" w:type="dxa"/>
              <w:right w:w="57" w:type="dxa"/>
            </w:tcMar>
            <w:vAlign w:val="center"/>
          </w:tcPr>
          <w:p>
            <w:pPr>
              <w:spacing w:line="280" w:lineRule="exact"/>
              <w:rPr>
                <w:rFonts w:eastAsia="华文中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462" w:type="dxa"/>
            <w:gridSpan w:val="3"/>
            <w:tcMar>
              <w:left w:w="57" w:type="dxa"/>
              <w:right w:w="57" w:type="dxa"/>
            </w:tcMar>
            <w:vAlign w:val="center"/>
          </w:tcPr>
          <w:p>
            <w:pPr>
              <w:widowControl/>
              <w:spacing w:line="280" w:lineRule="exact"/>
              <w:jc w:val="left"/>
              <w:rPr>
                <w:rFonts w:eastAsia="华文中宋"/>
                <w:szCs w:val="21"/>
              </w:rPr>
            </w:pPr>
            <w:r>
              <w:rPr>
                <w:rFonts w:hint="eastAsia" w:eastAsia="华文中宋" w:cs="宋体"/>
                <w:kern w:val="0"/>
                <w:szCs w:val="21"/>
                <w:lang w:bidi="ar"/>
              </w:rPr>
              <w:t>一、本年新收政府信息公开申请数量</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462" w:type="dxa"/>
            <w:gridSpan w:val="3"/>
            <w:tcMar>
              <w:left w:w="57" w:type="dxa"/>
              <w:right w:w="57" w:type="dxa"/>
            </w:tcMar>
            <w:vAlign w:val="center"/>
          </w:tcPr>
          <w:p>
            <w:pPr>
              <w:widowControl/>
              <w:spacing w:line="280" w:lineRule="exact"/>
              <w:jc w:val="left"/>
              <w:rPr>
                <w:rFonts w:eastAsia="华文中宋"/>
                <w:szCs w:val="21"/>
              </w:rPr>
            </w:pPr>
            <w:r>
              <w:rPr>
                <w:rFonts w:hint="eastAsia" w:eastAsia="华文中宋" w:cs="宋体"/>
                <w:kern w:val="0"/>
                <w:szCs w:val="21"/>
                <w:lang w:bidi="ar"/>
              </w:rPr>
              <w:t>二、上年结转政府信息公开申请数量</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restart"/>
            <w:tcMar>
              <w:left w:w="57" w:type="dxa"/>
              <w:right w:w="57" w:type="dxa"/>
            </w:tcMar>
            <w:vAlign w:val="center"/>
          </w:tcPr>
          <w:p>
            <w:pPr>
              <w:widowControl/>
              <w:spacing w:line="280" w:lineRule="exact"/>
              <w:jc w:val="left"/>
              <w:rPr>
                <w:rFonts w:eastAsia="华文中宋"/>
                <w:szCs w:val="21"/>
              </w:rPr>
            </w:pPr>
            <w:r>
              <w:rPr>
                <w:rFonts w:hint="eastAsia" w:eastAsia="华文中宋" w:cs="宋体"/>
                <w:kern w:val="0"/>
                <w:szCs w:val="21"/>
                <w:lang w:bidi="ar"/>
              </w:rPr>
              <w:t>三、本年度办理结果</w:t>
            </w:r>
          </w:p>
        </w:tc>
        <w:tc>
          <w:tcPr>
            <w:tcW w:w="3765" w:type="dxa"/>
            <w:gridSpan w:val="2"/>
            <w:tcMar>
              <w:left w:w="57" w:type="dxa"/>
              <w:right w:w="57" w:type="dxa"/>
            </w:tcMar>
            <w:vAlign w:val="center"/>
          </w:tcPr>
          <w:p>
            <w:pPr>
              <w:widowControl/>
              <w:spacing w:line="280" w:lineRule="exact"/>
              <w:jc w:val="left"/>
              <w:rPr>
                <w:rFonts w:eastAsia="华文中宋"/>
                <w:szCs w:val="21"/>
              </w:rPr>
            </w:pPr>
            <w:r>
              <w:rPr>
                <w:rFonts w:hint="eastAsia" w:eastAsia="华文中宋" w:cs="宋体"/>
                <w:kern w:val="0"/>
                <w:szCs w:val="21"/>
                <w:lang w:bidi="ar"/>
              </w:rPr>
              <w:t>（一）予以公开</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3765" w:type="dxa"/>
            <w:gridSpan w:val="2"/>
            <w:tcMar>
              <w:left w:w="57" w:type="dxa"/>
              <w:right w:w="57" w:type="dxa"/>
            </w:tcMar>
            <w:vAlign w:val="center"/>
          </w:tcPr>
          <w:p>
            <w:pPr>
              <w:widowControl/>
              <w:spacing w:line="280" w:lineRule="exact"/>
              <w:jc w:val="left"/>
              <w:rPr>
                <w:rFonts w:eastAsia="华文中宋"/>
                <w:szCs w:val="21"/>
              </w:rPr>
            </w:pPr>
            <w:r>
              <w:rPr>
                <w:rFonts w:hint="eastAsia" w:eastAsia="华文中宋" w:cs="宋体"/>
                <w:kern w:val="0"/>
                <w:szCs w:val="21"/>
                <w:lang w:bidi="ar"/>
              </w:rPr>
              <w:t>（二）部分公开</w:t>
            </w:r>
            <w:r>
              <w:rPr>
                <w:rFonts w:hint="eastAsia" w:eastAsia="华文中宋" w:cs="楷体"/>
                <w:kern w:val="0"/>
                <w:szCs w:val="21"/>
                <w:lang w:bidi="ar"/>
              </w:rPr>
              <w:t>（区分处理的，只计这一情形，不计其他情形）</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restart"/>
            <w:tcMar>
              <w:left w:w="57" w:type="dxa"/>
              <w:right w:w="57" w:type="dxa"/>
            </w:tcMar>
            <w:vAlign w:val="center"/>
          </w:tcPr>
          <w:p>
            <w:pPr>
              <w:widowControl/>
              <w:spacing w:line="280" w:lineRule="exact"/>
              <w:jc w:val="left"/>
              <w:rPr>
                <w:rFonts w:eastAsia="华文中宋"/>
                <w:szCs w:val="21"/>
              </w:rPr>
            </w:pPr>
            <w:r>
              <w:rPr>
                <w:rFonts w:hint="eastAsia" w:eastAsia="华文中宋" w:cs="宋体"/>
                <w:kern w:val="0"/>
                <w:szCs w:val="21"/>
                <w:lang w:bidi="ar"/>
              </w:rPr>
              <w:t>（三）不予公开</w:t>
            </w: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1．属于国家秘密</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2．其他法律行政法规禁止公开</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3．危及“三安全一稳定”</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4．保护第三方合法权益</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5．属于三类内部事务信息</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6．属于四类过程性信息</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7．属于行政执法案卷</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8．属于行政查询事项</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restart"/>
            <w:tcMar>
              <w:left w:w="57" w:type="dxa"/>
              <w:right w:w="57" w:type="dxa"/>
            </w:tcMar>
            <w:vAlign w:val="center"/>
          </w:tcPr>
          <w:p>
            <w:pPr>
              <w:widowControl/>
              <w:spacing w:line="280" w:lineRule="exact"/>
              <w:jc w:val="left"/>
              <w:rPr>
                <w:rFonts w:eastAsia="华文中宋"/>
                <w:szCs w:val="21"/>
              </w:rPr>
            </w:pPr>
            <w:r>
              <w:rPr>
                <w:rFonts w:hint="eastAsia" w:eastAsia="华文中宋" w:cs="宋体"/>
                <w:kern w:val="0"/>
                <w:szCs w:val="21"/>
                <w:lang w:bidi="ar"/>
              </w:rPr>
              <w:t>（四）无法提供</w:t>
            </w: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1．本机关不掌握相关政府信息</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2．没有现成信息需要另行制作</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3．补正后申请内容仍不明确</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restart"/>
            <w:tcMar>
              <w:left w:w="57" w:type="dxa"/>
              <w:right w:w="57" w:type="dxa"/>
            </w:tcMar>
            <w:vAlign w:val="center"/>
          </w:tcPr>
          <w:p>
            <w:pPr>
              <w:widowControl/>
              <w:spacing w:line="280" w:lineRule="exact"/>
              <w:jc w:val="left"/>
              <w:rPr>
                <w:rFonts w:eastAsia="华文中宋"/>
                <w:szCs w:val="21"/>
              </w:rPr>
            </w:pPr>
            <w:r>
              <w:rPr>
                <w:rFonts w:hint="eastAsia" w:eastAsia="华文中宋" w:cs="宋体"/>
                <w:kern w:val="0"/>
                <w:szCs w:val="21"/>
                <w:lang w:bidi="ar"/>
              </w:rPr>
              <w:t>（五）不予处理</w:t>
            </w: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1．信访举报投诉类申请</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2．重复申请</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3．要求提供公开出版物</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4．无正当理由大量反复申请</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7" w:type="dxa"/>
            <w:vMerge w:val="continue"/>
            <w:tcMar>
              <w:left w:w="57" w:type="dxa"/>
              <w:right w:w="57" w:type="dxa"/>
            </w:tcMar>
            <w:vAlign w:val="center"/>
          </w:tcPr>
          <w:p>
            <w:pPr>
              <w:spacing w:line="280" w:lineRule="exact"/>
              <w:rPr>
                <w:rFonts w:eastAsia="华文中宋"/>
                <w:szCs w:val="21"/>
              </w:rPr>
            </w:pPr>
          </w:p>
        </w:tc>
        <w:tc>
          <w:tcPr>
            <w:tcW w:w="852" w:type="dxa"/>
            <w:vMerge w:val="continue"/>
            <w:tcMar>
              <w:left w:w="57" w:type="dxa"/>
              <w:right w:w="57" w:type="dxa"/>
            </w:tcMar>
            <w:vAlign w:val="center"/>
          </w:tcPr>
          <w:p>
            <w:pPr>
              <w:spacing w:line="280" w:lineRule="exact"/>
              <w:rPr>
                <w:rFonts w:eastAsia="华文中宋"/>
                <w:szCs w:val="21"/>
              </w:rPr>
            </w:pPr>
          </w:p>
        </w:tc>
        <w:tc>
          <w:tcPr>
            <w:tcW w:w="2913" w:type="dxa"/>
            <w:tcMar>
              <w:left w:w="57" w:type="dxa"/>
              <w:right w:w="57" w:type="dxa"/>
            </w:tcMar>
            <w:vAlign w:val="center"/>
          </w:tcPr>
          <w:p>
            <w:pPr>
              <w:widowControl/>
              <w:spacing w:line="280" w:lineRule="exact"/>
              <w:rPr>
                <w:rFonts w:eastAsia="华文中宋"/>
                <w:szCs w:val="21"/>
              </w:rPr>
            </w:pPr>
            <w:r>
              <w:rPr>
                <w:rFonts w:hint="eastAsia" w:eastAsia="华文中宋" w:cs="宋体"/>
                <w:kern w:val="0"/>
                <w:szCs w:val="21"/>
                <w:lang w:bidi="ar"/>
              </w:rPr>
              <w:t>5．要求行政机关确认或重新出具已获取信息</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spacing w:line="280" w:lineRule="exact"/>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 w:type="dxa"/>
            <w:vMerge w:val="restart"/>
            <w:tcMar>
              <w:left w:w="57" w:type="dxa"/>
              <w:right w:w="57" w:type="dxa"/>
            </w:tcMar>
            <w:vAlign w:val="center"/>
          </w:tcPr>
          <w:p>
            <w:pPr>
              <w:widowControl/>
              <w:spacing w:line="280" w:lineRule="exact"/>
              <w:jc w:val="left"/>
              <w:rPr>
                <w:rFonts w:eastAsia="华文中宋"/>
                <w:szCs w:val="21"/>
              </w:rPr>
            </w:pPr>
            <w:r>
              <w:rPr>
                <w:rFonts w:hint="eastAsia" w:eastAsia="华文中宋" w:cs="宋体"/>
                <w:kern w:val="0"/>
                <w:szCs w:val="21"/>
                <w:lang w:bidi="ar"/>
              </w:rPr>
              <w:t>三、本年度办理</w:t>
            </w:r>
            <w:bookmarkStart w:id="0" w:name="_GoBack"/>
            <w:bookmarkEnd w:id="0"/>
            <w:r>
              <w:rPr>
                <w:rFonts w:hint="eastAsia" w:eastAsia="华文中宋" w:cs="宋体"/>
                <w:kern w:val="0"/>
                <w:szCs w:val="21"/>
                <w:lang w:bidi="ar"/>
              </w:rPr>
              <w:t>结果</w:t>
            </w:r>
          </w:p>
        </w:tc>
        <w:tc>
          <w:tcPr>
            <w:tcW w:w="852" w:type="dxa"/>
            <w:vMerge w:val="restart"/>
            <w:tcMar>
              <w:left w:w="57" w:type="dxa"/>
              <w:right w:w="57" w:type="dxa"/>
            </w:tcMar>
            <w:vAlign w:val="center"/>
          </w:tcPr>
          <w:p>
            <w:pPr>
              <w:widowControl/>
              <w:jc w:val="left"/>
              <w:rPr>
                <w:rFonts w:eastAsia="华文中宋"/>
                <w:szCs w:val="21"/>
              </w:rPr>
            </w:pPr>
            <w:r>
              <w:rPr>
                <w:rFonts w:hint="eastAsia" w:eastAsia="华文中宋" w:cs="宋体"/>
                <w:kern w:val="0"/>
                <w:szCs w:val="21"/>
                <w:lang w:bidi="ar"/>
              </w:rPr>
              <w:t>（六）其他处理</w:t>
            </w:r>
          </w:p>
        </w:tc>
        <w:tc>
          <w:tcPr>
            <w:tcW w:w="2913" w:type="dxa"/>
            <w:tcMar>
              <w:left w:w="57" w:type="dxa"/>
              <w:right w:w="57" w:type="dxa"/>
            </w:tcMar>
            <w:vAlign w:val="center"/>
          </w:tcPr>
          <w:p>
            <w:pPr>
              <w:widowControl/>
              <w:rPr>
                <w:rFonts w:eastAsia="华文中宋"/>
                <w:szCs w:val="21"/>
              </w:rPr>
            </w:pPr>
            <w:r>
              <w:rPr>
                <w:rFonts w:hint="eastAsia" w:eastAsia="华文中宋" w:cs="宋体"/>
                <w:kern w:val="0"/>
                <w:szCs w:val="21"/>
                <w:lang w:bidi="ar"/>
              </w:rPr>
              <w:t>1．申请人无正当理由逾期不补正、行政机关不再处理其政府信息公开申请</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 w:type="dxa"/>
            <w:vMerge w:val="continue"/>
            <w:tcMar>
              <w:left w:w="57" w:type="dxa"/>
              <w:right w:w="57" w:type="dxa"/>
            </w:tcMar>
            <w:vAlign w:val="center"/>
          </w:tcPr>
          <w:p>
            <w:pPr>
              <w:rPr>
                <w:rFonts w:eastAsia="华文中宋"/>
                <w:szCs w:val="21"/>
              </w:rPr>
            </w:pPr>
          </w:p>
        </w:tc>
        <w:tc>
          <w:tcPr>
            <w:tcW w:w="852" w:type="dxa"/>
            <w:vMerge w:val="continue"/>
            <w:tcMar>
              <w:left w:w="57" w:type="dxa"/>
              <w:right w:w="57" w:type="dxa"/>
            </w:tcMar>
            <w:vAlign w:val="center"/>
          </w:tcPr>
          <w:p>
            <w:pPr>
              <w:rPr>
                <w:rFonts w:eastAsia="华文中宋"/>
                <w:szCs w:val="21"/>
              </w:rPr>
            </w:pPr>
          </w:p>
        </w:tc>
        <w:tc>
          <w:tcPr>
            <w:tcW w:w="2913" w:type="dxa"/>
            <w:tcMar>
              <w:left w:w="57" w:type="dxa"/>
              <w:right w:w="57" w:type="dxa"/>
            </w:tcMar>
            <w:vAlign w:val="center"/>
          </w:tcPr>
          <w:p>
            <w:pPr>
              <w:widowControl/>
              <w:rPr>
                <w:rFonts w:eastAsia="华文中宋"/>
                <w:szCs w:val="21"/>
              </w:rPr>
            </w:pPr>
            <w:r>
              <w:rPr>
                <w:rFonts w:hint="eastAsia" w:eastAsia="华文中宋" w:cs="宋体"/>
                <w:kern w:val="0"/>
                <w:szCs w:val="21"/>
                <w:lang w:bidi="ar"/>
              </w:rPr>
              <w:t>2．申请人逾期未按收费通知要求缴纳费用、行政机关不再处理其政府信息公开申请</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 w:type="dxa"/>
            <w:vMerge w:val="continue"/>
            <w:tcMar>
              <w:left w:w="57" w:type="dxa"/>
              <w:right w:w="57" w:type="dxa"/>
            </w:tcMar>
            <w:vAlign w:val="center"/>
          </w:tcPr>
          <w:p>
            <w:pPr>
              <w:rPr>
                <w:rFonts w:eastAsia="华文中宋"/>
                <w:szCs w:val="21"/>
              </w:rPr>
            </w:pPr>
          </w:p>
        </w:tc>
        <w:tc>
          <w:tcPr>
            <w:tcW w:w="852" w:type="dxa"/>
            <w:vMerge w:val="continue"/>
            <w:tcMar>
              <w:left w:w="57" w:type="dxa"/>
              <w:right w:w="57" w:type="dxa"/>
            </w:tcMar>
            <w:vAlign w:val="center"/>
          </w:tcPr>
          <w:p>
            <w:pPr>
              <w:rPr>
                <w:rFonts w:eastAsia="华文中宋"/>
                <w:szCs w:val="21"/>
              </w:rPr>
            </w:pPr>
          </w:p>
        </w:tc>
        <w:tc>
          <w:tcPr>
            <w:tcW w:w="2913" w:type="dxa"/>
            <w:tcMar>
              <w:left w:w="57" w:type="dxa"/>
              <w:right w:w="57" w:type="dxa"/>
            </w:tcMar>
            <w:vAlign w:val="center"/>
          </w:tcPr>
          <w:p>
            <w:pPr>
              <w:widowControl/>
              <w:rPr>
                <w:rFonts w:eastAsia="华文中宋"/>
                <w:szCs w:val="21"/>
              </w:rPr>
            </w:pPr>
            <w:r>
              <w:rPr>
                <w:rFonts w:hint="eastAsia" w:eastAsia="华文中宋" w:cs="宋体"/>
                <w:kern w:val="0"/>
                <w:szCs w:val="21"/>
                <w:lang w:bidi="ar"/>
              </w:rPr>
              <w:t>3．其他</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 w:type="dxa"/>
            <w:vMerge w:val="continue"/>
            <w:tcMar>
              <w:left w:w="57" w:type="dxa"/>
              <w:right w:w="57" w:type="dxa"/>
            </w:tcMar>
            <w:vAlign w:val="center"/>
          </w:tcPr>
          <w:p>
            <w:pPr>
              <w:rPr>
                <w:rFonts w:eastAsia="华文中宋"/>
                <w:szCs w:val="21"/>
              </w:rPr>
            </w:pPr>
          </w:p>
        </w:tc>
        <w:tc>
          <w:tcPr>
            <w:tcW w:w="3765" w:type="dxa"/>
            <w:gridSpan w:val="2"/>
            <w:tcMar>
              <w:left w:w="57" w:type="dxa"/>
              <w:right w:w="57" w:type="dxa"/>
            </w:tcMar>
            <w:vAlign w:val="center"/>
          </w:tcPr>
          <w:p>
            <w:pPr>
              <w:widowControl/>
              <w:jc w:val="left"/>
              <w:rPr>
                <w:rFonts w:eastAsia="华文中宋"/>
                <w:szCs w:val="21"/>
              </w:rPr>
            </w:pPr>
            <w:r>
              <w:rPr>
                <w:rFonts w:hint="eastAsia" w:eastAsia="华文中宋" w:cs="宋体"/>
                <w:kern w:val="0"/>
                <w:szCs w:val="21"/>
                <w:lang w:bidi="ar"/>
              </w:rPr>
              <w:t>（七）总计</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62" w:type="dxa"/>
            <w:gridSpan w:val="3"/>
            <w:tcMar>
              <w:left w:w="57" w:type="dxa"/>
              <w:right w:w="57" w:type="dxa"/>
            </w:tcMar>
            <w:vAlign w:val="center"/>
          </w:tcPr>
          <w:p>
            <w:pPr>
              <w:widowControl/>
              <w:jc w:val="left"/>
              <w:rPr>
                <w:rFonts w:eastAsia="华文中宋"/>
                <w:szCs w:val="21"/>
              </w:rPr>
            </w:pPr>
            <w:r>
              <w:rPr>
                <w:rFonts w:hint="eastAsia" w:eastAsia="华文中宋" w:cs="宋体"/>
                <w:kern w:val="0"/>
                <w:szCs w:val="21"/>
                <w:lang w:bidi="ar"/>
              </w:rPr>
              <w:t>四、结转下年度继续办理</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22" w:type="dxa"/>
            <w:tcMar>
              <w:left w:w="57" w:type="dxa"/>
              <w:right w:w="57" w:type="dxa"/>
            </w:tcMar>
            <w:vAlign w:val="center"/>
          </w:tcPr>
          <w:p>
            <w:pPr>
              <w:widowControl/>
              <w:jc w:val="center"/>
              <w:rPr>
                <w:rFonts w:hint="eastAsia" w:eastAsia="华文中宋"/>
                <w:szCs w:val="21"/>
                <w:lang w:val="en-US" w:eastAsia="zh-CN"/>
              </w:rPr>
            </w:pPr>
            <w:r>
              <w:rPr>
                <w:rFonts w:hint="eastAsia" w:eastAsia="华文中宋"/>
                <w:szCs w:val="21"/>
                <w:lang w:val="en-US" w:eastAsia="zh-CN"/>
              </w:rPr>
              <w:t>0</w:t>
            </w:r>
          </w:p>
        </w:tc>
        <w:tc>
          <w:tcPr>
            <w:tcW w:w="613" w:type="dxa"/>
            <w:tcMar>
              <w:left w:w="57" w:type="dxa"/>
              <w:right w:w="57" w:type="dxa"/>
            </w:tcMar>
            <w:vAlign w:val="center"/>
          </w:tcPr>
          <w:p>
            <w:pPr>
              <w:jc w:val="center"/>
              <w:rPr>
                <w:rFonts w:hint="eastAsia" w:eastAsia="华文中宋"/>
                <w:szCs w:val="21"/>
                <w:lang w:val="en-US" w:eastAsia="zh-CN"/>
              </w:rPr>
            </w:pPr>
            <w:r>
              <w:rPr>
                <w:rFonts w:hint="eastAsia" w:eastAsia="华文中宋"/>
                <w:szCs w:val="21"/>
                <w:lang w:val="en-US" w:eastAsia="zh-CN"/>
              </w:rPr>
              <w:t>0</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Chars="0" w:right="0" w:rightChars="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政府信息公开行政复议、行政诉讼情况</w:t>
      </w:r>
    </w:p>
    <w:tbl>
      <w:tblPr>
        <w:tblStyle w:val="3"/>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07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行政复议</w:t>
            </w:r>
          </w:p>
        </w:tc>
        <w:tc>
          <w:tcPr>
            <w:tcW w:w="5997" w:type="dxa"/>
            <w:gridSpan w:val="10"/>
            <w:tcBorders>
              <w:top w:val="single" w:color="auto" w:sz="4" w:space="0"/>
              <w:left w:val="nil"/>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4"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结果维持</w:t>
            </w:r>
          </w:p>
        </w:tc>
        <w:tc>
          <w:tcPr>
            <w:tcW w:w="604" w:type="dxa"/>
            <w:vMerge w:val="restart"/>
            <w:tcBorders>
              <w:top w:val="nil"/>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结果纠正</w:t>
            </w:r>
          </w:p>
        </w:tc>
        <w:tc>
          <w:tcPr>
            <w:tcW w:w="604" w:type="dxa"/>
            <w:vMerge w:val="restart"/>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其他结果</w:t>
            </w:r>
          </w:p>
        </w:tc>
        <w:tc>
          <w:tcPr>
            <w:tcW w:w="604" w:type="dxa"/>
            <w:vMerge w:val="restart"/>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尚未审结</w:t>
            </w:r>
          </w:p>
        </w:tc>
        <w:tc>
          <w:tcPr>
            <w:tcW w:w="658" w:type="dxa"/>
            <w:vMerge w:val="restart"/>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总计</w:t>
            </w:r>
          </w:p>
        </w:tc>
        <w:tc>
          <w:tcPr>
            <w:tcW w:w="2970" w:type="dxa"/>
            <w:gridSpan w:val="5"/>
            <w:tcBorders>
              <w:top w:val="single" w:color="auto" w:sz="4" w:space="0"/>
              <w:left w:val="nil"/>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未经复议直接起诉</w:t>
            </w:r>
          </w:p>
        </w:tc>
        <w:tc>
          <w:tcPr>
            <w:tcW w:w="3027" w:type="dxa"/>
            <w:gridSpan w:val="5"/>
            <w:tcBorders>
              <w:top w:val="single" w:color="auto" w:sz="4" w:space="0"/>
              <w:left w:val="nil"/>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4"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p>
        </w:tc>
        <w:tc>
          <w:tcPr>
            <w:tcW w:w="604" w:type="dxa"/>
            <w:vMerge w:val="continue"/>
            <w:tcBorders>
              <w:top w:val="nil"/>
              <w:left w:val="nil"/>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p>
        </w:tc>
        <w:tc>
          <w:tcPr>
            <w:tcW w:w="604" w:type="dxa"/>
            <w:vMerge w:val="continue"/>
            <w:tcBorders>
              <w:top w:val="single" w:color="auto" w:sz="4" w:space="0"/>
              <w:left w:val="nil"/>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p>
        </w:tc>
        <w:tc>
          <w:tcPr>
            <w:tcW w:w="604" w:type="dxa"/>
            <w:vMerge w:val="continue"/>
            <w:tcBorders>
              <w:top w:val="single" w:color="auto" w:sz="4" w:space="0"/>
              <w:left w:val="nil"/>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p>
        </w:tc>
        <w:tc>
          <w:tcPr>
            <w:tcW w:w="658" w:type="dxa"/>
            <w:vMerge w:val="continue"/>
            <w:tcBorders>
              <w:top w:val="single" w:color="auto" w:sz="4" w:space="0"/>
              <w:left w:val="nil"/>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p>
        </w:tc>
        <w:tc>
          <w:tcPr>
            <w:tcW w:w="550"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结果维持</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结果纠正</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其他结果</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尚未审结</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总计</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结果维持</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结果纠正</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其他结果</w:t>
            </w:r>
          </w:p>
        </w:tc>
        <w:tc>
          <w:tcPr>
            <w:tcW w:w="606"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尚未审结</w:t>
            </w:r>
          </w:p>
        </w:tc>
        <w:tc>
          <w:tcPr>
            <w:tcW w:w="606"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4"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4"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4"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58"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550"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6"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6"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480" w:lineRule="exact"/>
        <w:ind w:right="0"/>
        <w:textAlignment w:val="auto"/>
        <w:rPr>
          <w:rFonts w:hint="eastAsia" w:ascii="黑体" w:hAnsi="黑体" w:eastAsia="黑体" w:cs="黑体"/>
          <w:i w:val="0"/>
          <w:caps w:val="0"/>
          <w:color w:val="333333"/>
          <w:spacing w:val="0"/>
          <w:sz w:val="32"/>
          <w:szCs w:val="32"/>
          <w:lang w:eastAsia="zh-CN"/>
        </w:rPr>
      </w:pPr>
      <w:r>
        <w:rPr>
          <w:rStyle w:val="5"/>
          <w:rFonts w:hint="eastAsia" w:ascii="黑体" w:hAnsi="黑体" w:eastAsia="黑体" w:cs="黑体"/>
          <w:b/>
          <w:i w:val="0"/>
          <w:caps w:val="0"/>
          <w:color w:val="333333"/>
          <w:spacing w:val="0"/>
          <w:sz w:val="32"/>
          <w:szCs w:val="32"/>
          <w:shd w:val="clear" w:fill="FFFFFF"/>
          <w:lang w:eastAsia="zh-CN"/>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textAlignment w:val="auto"/>
        <w:rPr>
          <w:rStyle w:val="5"/>
          <w:rFonts w:hint="eastAsia" w:ascii="仿宋" w:hAnsi="仿宋" w:eastAsia="仿宋" w:cs="仿宋"/>
          <w:b w:val="0"/>
          <w:bCs/>
          <w:i w:val="0"/>
          <w:caps w:val="0"/>
          <w:color w:val="333333"/>
          <w:spacing w:val="0"/>
          <w:sz w:val="32"/>
          <w:szCs w:val="32"/>
          <w:shd w:val="clear" w:fill="FFFFFF"/>
          <w:lang w:val="en-US" w:eastAsia="zh-CN"/>
        </w:rPr>
      </w:pPr>
      <w:r>
        <w:rPr>
          <w:rStyle w:val="5"/>
          <w:rFonts w:hint="eastAsia" w:ascii="仿宋" w:hAnsi="仿宋" w:eastAsia="仿宋" w:cs="仿宋"/>
          <w:b w:val="0"/>
          <w:bCs/>
          <w:i w:val="0"/>
          <w:caps w:val="0"/>
          <w:color w:val="333333"/>
          <w:spacing w:val="0"/>
          <w:sz w:val="32"/>
          <w:szCs w:val="32"/>
          <w:shd w:val="clear" w:fill="FFFFFF"/>
          <w:lang w:val="en-US" w:eastAsia="zh-CN"/>
        </w:rPr>
        <w:t>紧紧围绕优质供水服务工作，及时、准确、全面地搞好政务信息的上传下达工作，及时反映供水工作新思路、新进展、新经验和新问题，加强对政务公开工作的管理力度，更好地做好供水服务。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3" w:firstLineChars="200"/>
        <w:textAlignment w:val="auto"/>
        <w:rPr>
          <w:rStyle w:val="5"/>
          <w:rFonts w:hint="eastAsia" w:ascii="仿宋" w:hAnsi="仿宋" w:eastAsia="仿宋" w:cs="仿宋"/>
          <w:b w:val="0"/>
          <w:bCs/>
          <w:i w:val="0"/>
          <w:caps w:val="0"/>
          <w:color w:val="FF0000"/>
          <w:spacing w:val="0"/>
          <w:sz w:val="32"/>
          <w:szCs w:val="32"/>
          <w:shd w:val="clear" w:fill="FFFFFF"/>
          <w:lang w:val="en-US" w:eastAsia="zh-CN"/>
        </w:rPr>
      </w:pPr>
      <w:r>
        <w:rPr>
          <w:rStyle w:val="5"/>
          <w:rFonts w:hint="eastAsia" w:ascii="楷体" w:hAnsi="楷体" w:eastAsia="楷体" w:cs="楷体"/>
          <w:b/>
          <w:i w:val="0"/>
          <w:caps w:val="0"/>
          <w:color w:val="333333"/>
          <w:spacing w:val="0"/>
          <w:sz w:val="32"/>
          <w:szCs w:val="32"/>
          <w:shd w:val="clear" w:fill="FFFFFF"/>
        </w:rPr>
        <w:t>（一）存在问题</w:t>
      </w:r>
      <w:r>
        <w:rPr>
          <w:rStyle w:val="5"/>
          <w:rFonts w:hint="eastAsia" w:ascii="楷体" w:hAnsi="楷体" w:eastAsia="楷体" w:cs="楷体"/>
          <w:b/>
          <w:i w:val="0"/>
          <w:caps w:val="0"/>
          <w:color w:val="333333"/>
          <w:spacing w:val="0"/>
          <w:sz w:val="32"/>
          <w:szCs w:val="32"/>
          <w:shd w:val="clear" w:fill="FFFFFF"/>
          <w:lang w:eastAsia="zh-CN"/>
        </w:rPr>
        <w:t>。</w:t>
      </w:r>
      <w:r>
        <w:rPr>
          <w:rStyle w:val="5"/>
          <w:rFonts w:hint="eastAsia" w:ascii="仿宋" w:hAnsi="仿宋" w:eastAsia="仿宋" w:cs="仿宋"/>
          <w:b w:val="0"/>
          <w:bCs/>
          <w:i w:val="0"/>
          <w:caps w:val="0"/>
          <w:color w:val="auto"/>
          <w:spacing w:val="0"/>
          <w:sz w:val="32"/>
          <w:szCs w:val="32"/>
          <w:shd w:val="clear" w:fill="FFFFFF"/>
          <w:lang w:val="en-US" w:eastAsia="zh-CN"/>
        </w:rPr>
        <w:t>1、各种方式的信息公开工作还有待强化，提高信息公开效率，拓宽信息交流渠道，继续做好网站建设。2、尚需借鉴学习先进经验和做法，以逐步完善部门工作，把握好本部门的工作方向</w:t>
      </w:r>
      <w:r>
        <w:rPr>
          <w:rFonts w:hint="eastAsia" w:ascii="仿宋" w:hAnsi="仿宋" w:eastAsia="仿宋" w:cs="仿宋"/>
          <w:i w:val="0"/>
          <w:iCs w:val="0"/>
          <w:caps w:val="0"/>
          <w:color w:val="auto"/>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Style w:val="5"/>
          <w:rFonts w:hint="eastAsia" w:ascii="楷体" w:hAnsi="楷体" w:eastAsia="楷体" w:cs="楷体"/>
          <w:b/>
          <w:i w:val="0"/>
          <w:caps w:val="0"/>
          <w:color w:val="333333"/>
          <w:spacing w:val="0"/>
          <w:sz w:val="32"/>
          <w:szCs w:val="32"/>
          <w:shd w:val="clear" w:fill="FFFFFF"/>
        </w:rPr>
        <w:t>（二）改进措施</w:t>
      </w:r>
      <w:r>
        <w:rPr>
          <w:rStyle w:val="5"/>
          <w:rFonts w:hint="eastAsia" w:ascii="楷体" w:hAnsi="楷体" w:eastAsia="楷体" w:cs="楷体"/>
          <w:b/>
          <w:i w:val="0"/>
          <w:caps w:val="0"/>
          <w:color w:val="333333"/>
          <w:spacing w:val="0"/>
          <w:sz w:val="32"/>
          <w:szCs w:val="32"/>
          <w:shd w:val="clear" w:fill="FFFFFF"/>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继续完善政务信息工作制度，</w:t>
      </w:r>
      <w:r>
        <w:rPr>
          <w:rFonts w:hint="eastAsia" w:ascii="仿宋_GB2312" w:hAnsi="仿宋_GB2312" w:eastAsia="仿宋_GB2312" w:cs="仿宋_GB2312"/>
          <w:sz w:val="32"/>
          <w:szCs w:val="32"/>
          <w:lang w:eastAsia="zh-CN"/>
        </w:rPr>
        <w:t>做</w:t>
      </w:r>
      <w:r>
        <w:rPr>
          <w:rFonts w:hint="eastAsia" w:ascii="仿宋_GB2312" w:hAnsi="仿宋_GB2312" w:eastAsia="仿宋_GB2312" w:cs="仿宋_GB2312"/>
          <w:sz w:val="32"/>
          <w:szCs w:val="32"/>
        </w:rPr>
        <w:t>好政务信息工作部署落实政务信息目标责任制，建立</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政务信息工作机制，促进</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工作走上制度化、规范化</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进一步扩大政务公开范围，及时更新政务公开内容。</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按照《国务院办公厅关于印发</w:t>
      </w:r>
      <w:r>
        <w:rPr>
          <w:rFonts w:hint="eastAsia" w:ascii="仿宋" w:hAnsi="仿宋" w:eastAsia="仿宋" w:cs="仿宋"/>
          <w:sz w:val="32"/>
          <w:szCs w:val="32"/>
          <w:lang w:val="en-US" w:eastAsia="zh-CN"/>
        </w:rPr>
        <w:t>&lt;政府信息公开信息处理费管理办法&gt;的通知</w:t>
      </w:r>
      <w:r>
        <w:rPr>
          <w:rFonts w:hint="eastAsia" w:ascii="仿宋" w:hAnsi="仿宋" w:eastAsia="仿宋" w:cs="仿宋"/>
          <w:sz w:val="32"/>
          <w:szCs w:val="32"/>
          <w:lang w:eastAsia="zh-CN"/>
        </w:rPr>
        <w:t>》（国办函﹝</w:t>
      </w:r>
      <w:r>
        <w:rPr>
          <w:rFonts w:hint="eastAsia" w:ascii="仿宋" w:hAnsi="仿宋" w:eastAsia="仿宋" w:cs="仿宋"/>
          <w:sz w:val="32"/>
          <w:szCs w:val="32"/>
          <w:lang w:val="en-US" w:eastAsia="zh-CN"/>
        </w:rPr>
        <w:t>2020﹞109号</w:t>
      </w:r>
      <w:r>
        <w:rPr>
          <w:rFonts w:hint="eastAsia" w:ascii="仿宋" w:hAnsi="仿宋" w:eastAsia="仿宋" w:cs="仿宋"/>
          <w:sz w:val="32"/>
          <w:szCs w:val="32"/>
          <w:lang w:eastAsia="zh-CN"/>
        </w:rPr>
        <w:t>）规定的按件、按量收费标准，本年度没有产生信息公开处理费。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BCC4C1-1EDE-41EF-93C1-2C41B51C3EC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805B0A0-F438-413B-82C8-23AFA091E619}"/>
  </w:font>
  <w:font w:name="方正小标宋简体">
    <w:panose1 w:val="02000000000000000000"/>
    <w:charset w:val="86"/>
    <w:family w:val="auto"/>
    <w:pitch w:val="default"/>
    <w:sig w:usb0="00000001" w:usb1="08000000" w:usb2="00000000" w:usb3="00000000" w:csb0="00040000" w:csb1="00000000"/>
    <w:embedRegular r:id="rId3" w:fontKey="{C1358754-C954-4119-934C-53A4ABD5DF41}"/>
  </w:font>
  <w:font w:name="仿宋">
    <w:panose1 w:val="02010609060101010101"/>
    <w:charset w:val="86"/>
    <w:family w:val="auto"/>
    <w:pitch w:val="default"/>
    <w:sig w:usb0="800002BF" w:usb1="38CF7CFA" w:usb2="00000016" w:usb3="00000000" w:csb0="00040001" w:csb1="00000000"/>
    <w:embedRegular r:id="rId4" w:fontKey="{A70099B9-988F-40D9-AC96-A2E351BADAE1}"/>
  </w:font>
  <w:font w:name="楷体">
    <w:panose1 w:val="02010609060101010101"/>
    <w:charset w:val="86"/>
    <w:family w:val="auto"/>
    <w:pitch w:val="default"/>
    <w:sig w:usb0="800002BF" w:usb1="38CF7CFA" w:usb2="00000016" w:usb3="00000000" w:csb0="00040001" w:csb1="00000000"/>
    <w:embedRegular r:id="rId5" w:fontKey="{0BF9160F-C692-4F61-BA8B-6B47B9D8C77C}"/>
  </w:font>
  <w:font w:name="华文中宋">
    <w:panose1 w:val="02010600040101010101"/>
    <w:charset w:val="86"/>
    <w:family w:val="auto"/>
    <w:pitch w:val="default"/>
    <w:sig w:usb0="00000287" w:usb1="080F0000" w:usb2="00000000" w:usb3="00000000" w:csb0="0004009F" w:csb1="DFD70000"/>
    <w:embedRegular r:id="rId6" w:fontKey="{0B7DB929-1E80-4677-BA5F-E9DD9D7C4ECD}"/>
  </w:font>
  <w:font w:name="仿宋_GB2312">
    <w:panose1 w:val="02010609030101010101"/>
    <w:charset w:val="86"/>
    <w:family w:val="modern"/>
    <w:pitch w:val="default"/>
    <w:sig w:usb0="00000001" w:usb1="080E0000" w:usb2="00000000" w:usb3="00000000" w:csb0="00040000" w:csb1="00000000"/>
    <w:embedRegular r:id="rId7" w:fontKey="{3D2AA3B7-1CF4-45BE-957C-22C14408C6B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30370"/>
    <w:multiLevelType w:val="singleLevel"/>
    <w:tmpl w:val="4E0303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DgzMmMwOWZmYTU0NDgyMmU4OGJiOWJmZTM0ZmMifQ=="/>
    <w:docVar w:name="KSO_WPS_MARK_KEY" w:val="c092a510-fa95-44e0-8113-8240d55301de"/>
  </w:docVars>
  <w:rsids>
    <w:rsidRoot w:val="21A869CB"/>
    <w:rsid w:val="023C42CB"/>
    <w:rsid w:val="031515FD"/>
    <w:rsid w:val="07F33B4C"/>
    <w:rsid w:val="0AAB3E5B"/>
    <w:rsid w:val="0BE01C68"/>
    <w:rsid w:val="1582093B"/>
    <w:rsid w:val="178E003C"/>
    <w:rsid w:val="195669F5"/>
    <w:rsid w:val="1D151BA8"/>
    <w:rsid w:val="21A869CB"/>
    <w:rsid w:val="22F93624"/>
    <w:rsid w:val="249B5576"/>
    <w:rsid w:val="29A74E38"/>
    <w:rsid w:val="29CC3D3E"/>
    <w:rsid w:val="2B401FFE"/>
    <w:rsid w:val="2F0219CE"/>
    <w:rsid w:val="30BF0E5B"/>
    <w:rsid w:val="35AE3429"/>
    <w:rsid w:val="3653147E"/>
    <w:rsid w:val="38973187"/>
    <w:rsid w:val="39F6317C"/>
    <w:rsid w:val="3CA76AC1"/>
    <w:rsid w:val="419F76BF"/>
    <w:rsid w:val="4208638A"/>
    <w:rsid w:val="42B95DE1"/>
    <w:rsid w:val="42DE4F5A"/>
    <w:rsid w:val="48D07EEE"/>
    <w:rsid w:val="49E53DDC"/>
    <w:rsid w:val="49FE03E8"/>
    <w:rsid w:val="4F724DD0"/>
    <w:rsid w:val="51491028"/>
    <w:rsid w:val="53B62834"/>
    <w:rsid w:val="54A9234E"/>
    <w:rsid w:val="55AB6DC7"/>
    <w:rsid w:val="58631A1D"/>
    <w:rsid w:val="59C17A81"/>
    <w:rsid w:val="5A76725B"/>
    <w:rsid w:val="5B5F158D"/>
    <w:rsid w:val="63C42BA1"/>
    <w:rsid w:val="64A313F9"/>
    <w:rsid w:val="655317A9"/>
    <w:rsid w:val="6D7530FD"/>
    <w:rsid w:val="775E7F31"/>
    <w:rsid w:val="78BB5C9C"/>
    <w:rsid w:val="7B7850AB"/>
    <w:rsid w:val="7E64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2447</Words>
  <Characters>2596</Characters>
  <Lines>0</Lines>
  <Paragraphs>0</Paragraphs>
  <TotalTime>98</TotalTime>
  <ScaleCrop>false</ScaleCrop>
  <LinksUpToDate>false</LinksUpToDate>
  <CharactersWithSpaces>2607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2021-12-27T06:18:00Z</dcterms:created>
  <dc:creator>平陆成江。</dc:creator>
  <cp:lastModifiedBy>平陆成江。</cp:lastModifiedBy>
  <cp:lastPrinted>2023-01-18T01:12:28Z</cp:lastPrinted>
  <dcterms:modified xsi:type="dcterms:W3CDTF">2023-01-18T01:13:47Z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503ACA8EE72C4B55968DD08EF96AA82B</vt:lpwstr>
  </property>
</Properties>
</file>