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六安市叶集区城市管理行政执法局2022年政府信息公开工作年度报告</w:t>
      </w:r>
    </w:p>
    <w:p>
      <w:pPr>
        <w:spacing w:line="576" w:lineRule="exact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2022年，在区委、区政府的带领下，我局认真贯彻《中华人民共和国政府信息公开条例》等有关文件精神，结合工作实际，特编制六安市叶集区城市管理行政执法局2022年政府信息公开工作年度报告。本报告由总体情况、主动公开政府信息情况、收到和处理政府信息公开申请情况、政府信息公开行政复议、行政诉讼情况、存在的主要问题及改进情况和其他需要报告的事项等六个部分组成。本年度报告中使用数据统计期限为2022年1月1日至2022年12月31日，本年度报告的电子版可在叶集区政府信息公开平台下载（https://www.ahyeji.gov.cn/public/column/6599481?type=4&amp;action=list&amp;nav=3&amp;catId=7067611）。如对本报告有任何疑问，请联系叶集区城市管理行政执法局办公室，电话：0564-6488412。</w:t>
      </w:r>
    </w:p>
    <w:p>
      <w:pPr>
        <w:spacing w:line="576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一、总体情况</w:t>
      </w:r>
    </w:p>
    <w:p>
      <w:pPr>
        <w:spacing w:line="576" w:lineRule="exact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2022年，区城管局领导班子始终坚持把信息公开摆上重要议事日程，以提高城市管理政务公开水平为目标，通过政务公开网站，围绕热点舆情积极主动回应，扩大群众知晓面，深入解读政策的决策背景依据、制定意义、创新举措等要素，更新完善政务公开内容，按时上传政府工作动态，深入推进重要决策预公开，切实保障公众的知情权。</w:t>
      </w:r>
    </w:p>
    <w:p>
      <w:pPr>
        <w:spacing w:line="576" w:lineRule="exact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主动公开情况。2022年，根据我局所履行承担的政府职能，在政务信息公开上做到了突出重点，兼顾全面，较为全面客观地反映了工作情况。主动公开发布各类信息共计631条，其中国家基层试点成果推广运用145条，行政权力运行90条，招标采购77条，重点领域信息公开58条，决策部署落实情况32条，应急管理28条，回应关切23条，监督保障20条，政策解读15条，权责清单和动态调整情况13条，两化领域公开信息131条等。及时主动公开行政规范性文件1件，按照要求做到格式统一、规范，进一步健全组织体系，逐步完善公开机制，日趋规范各项管理。</w:t>
      </w:r>
    </w:p>
    <w:p>
      <w:pPr>
        <w:spacing w:line="576" w:lineRule="exact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依申请公开。严格按照《中华人民共和国政府信息公开条例》要求，统一规范依申请公开答复格式，严格内容与合法性审查机制，确保答复内容依法合规、准确严谨，切实保障公民、法人和其他组织依法获取政府信息。2022年我局收到依申请公开事项申请1件，已按期答复。</w:t>
      </w:r>
    </w:p>
    <w:p>
      <w:pPr>
        <w:spacing w:line="576" w:lineRule="exact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三）政府信息管理。一是加强组织领导。成立政务公开工作领导小组，落实专人负责公布政府信息公开内容，保障政府信息及时公开到位。二是完善公开内容。加强局政务公开队伍建设，落实信息公开“三审”制度、信息公开保密审查制度，进一步提升政府信息与政务公开工作水平。</w:t>
      </w:r>
    </w:p>
    <w:p>
      <w:pPr>
        <w:spacing w:line="576" w:lineRule="exact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四）政府信息公开平台建设情况。加强门户网站建设管理，定期修改后台账号，确保信息发布安全准确。规范政务公开制度建设，把政务公开要求全面贯穿于办文办会办事等日常工作中，做到在规定时限内主动公开城市管理相关信息。</w:t>
      </w:r>
    </w:p>
    <w:p>
      <w:pPr>
        <w:spacing w:line="576" w:lineRule="exact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五）监督保障。2022年，我局在政府信息公开考核中，认真履行政府信息公开工作职责，将信息公开、政务公开工作测评情况及时进行反馈，安排专人梳理存在问题，查找扣分原因，建立问题整改台账，进行逐一逐项的整改。建立完善分管领导牵头，局办公室具体组织，各部门各司其责，一级抓一级、层层抓落实的政府信息公开责任机制，着力提升政务公开的质量和实效。</w:t>
      </w:r>
    </w:p>
    <w:p>
      <w:pPr>
        <w:spacing w:line="576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二、主动公开政府信息情况</w:t>
      </w:r>
    </w:p>
    <w:tbl>
      <w:tblPr>
        <w:tblStyle w:val="5"/>
        <w:tblW w:w="89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0"/>
        <w:gridCol w:w="2240"/>
        <w:gridCol w:w="2239"/>
        <w:gridCol w:w="22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9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9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9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695.633133</w:t>
            </w:r>
          </w:p>
        </w:tc>
      </w:tr>
    </w:tbl>
    <w:p>
      <w:pPr>
        <w:numPr>
          <w:ilvl w:val="0"/>
          <w:numId w:val="1"/>
        </w:numPr>
        <w:spacing w:line="576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收到和处理政府信息公开申请情况</w:t>
      </w:r>
    </w:p>
    <w:tbl>
      <w:tblPr>
        <w:tblStyle w:val="5"/>
        <w:tblW w:w="89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62"/>
        <w:gridCol w:w="2908"/>
        <w:gridCol w:w="632"/>
        <w:gridCol w:w="642"/>
        <w:gridCol w:w="642"/>
        <w:gridCol w:w="642"/>
        <w:gridCol w:w="642"/>
        <w:gridCol w:w="642"/>
        <w:gridCol w:w="6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74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eastAsia="华文中宋" w:cs="楷体"/>
                <w:color w:val="000000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484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74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63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自然人</w:t>
            </w:r>
          </w:p>
        </w:tc>
        <w:tc>
          <w:tcPr>
            <w:tcW w:w="321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法人或其他组织</w:t>
            </w:r>
          </w:p>
        </w:tc>
        <w:tc>
          <w:tcPr>
            <w:tcW w:w="64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74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63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6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商业</w:t>
            </w:r>
          </w:p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6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机构</w:t>
            </w:r>
          </w:p>
        </w:tc>
        <w:tc>
          <w:tcPr>
            <w:tcW w:w="6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社会公益组织</w:t>
            </w:r>
          </w:p>
        </w:tc>
        <w:tc>
          <w:tcPr>
            <w:tcW w:w="6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法律服务机构</w:t>
            </w:r>
          </w:p>
        </w:tc>
        <w:tc>
          <w:tcPr>
            <w:tcW w:w="6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64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7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7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三、本年度办理结果</w:t>
            </w:r>
          </w:p>
        </w:tc>
        <w:tc>
          <w:tcPr>
            <w:tcW w:w="37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（一）予以公开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37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（二）部分公开</w:t>
            </w:r>
            <w:r>
              <w:rPr>
                <w:rFonts w:hint="eastAsia" w:eastAsia="华文中宋" w:cs="楷体"/>
                <w:color w:val="000000"/>
                <w:kern w:val="0"/>
                <w:szCs w:val="21"/>
              </w:rPr>
              <w:t>（区分处理的，只计这一情形，不计其他情形）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（三）不予公开</w:t>
            </w: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1.属于国家秘密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2.其他法律行政法规禁止公开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3.危及“三安全一稳定”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4.保护第三方合法权益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5.属于三类内部事务信息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6.属于四类过程性信息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7.属于行政执法案卷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8.属于行政查询事项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（四）无法提供</w:t>
            </w: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1.本机关不掌握相关政府信息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2.没有现成信息需要另行制作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3.补正后申请内容仍不明确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（五）不予处理</w:t>
            </w: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1.信访举报投诉类申请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2.重复申请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3.要求提供公开出版物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4.无正当理由大量反复申请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（六）其他处理</w:t>
            </w: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90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3.其他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37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（七）总计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7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四、结转下年度继续办理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numId w:val="0"/>
        </w:numPr>
        <w:spacing w:line="576" w:lineRule="exact"/>
        <w:rPr>
          <w:rFonts w:hint="eastAsia" w:eastAsia="黑体"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政府信息公开行政复议、行政诉讼情况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02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行政复议</w:t>
            </w:r>
          </w:p>
        </w:tc>
        <w:tc>
          <w:tcPr>
            <w:tcW w:w="6040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0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结果维持</w:t>
            </w:r>
          </w:p>
        </w:tc>
        <w:tc>
          <w:tcPr>
            <w:tcW w:w="60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结果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纠正</w:t>
            </w:r>
          </w:p>
        </w:tc>
        <w:tc>
          <w:tcPr>
            <w:tcW w:w="60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其他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0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尚未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审结</w:t>
            </w:r>
          </w:p>
        </w:tc>
        <w:tc>
          <w:tcPr>
            <w:tcW w:w="60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302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未经复议直接起诉</w:t>
            </w:r>
          </w:p>
        </w:tc>
        <w:tc>
          <w:tcPr>
            <w:tcW w:w="302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60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60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60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60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结果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维持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结果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纠正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其他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尚未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审结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结果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维持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结果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纠正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其他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尚未</w:t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审结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numId w:val="0"/>
        </w:numPr>
        <w:spacing w:line="576" w:lineRule="exact"/>
        <w:rPr>
          <w:rFonts w:hint="eastAsia" w:eastAsia="黑体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五、存在的主要问题及改进情况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存在的问题主要表现在：一是政策解读多样性仍需加强，2022年度无新闻发布信息公开；二是由于日常公开涉及内容较为复杂，往往需要联合执法大队、市政、环卫等多个部门经办，导致部分信息出现滞后，不能及时公开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下一步打算：一是加强政策解读力度和精准度，注重政策解读质量，通过新闻发布会、动漫、图文等方式对政策进行解读，方便公众对政策的理解，回应社会关切，提高政策知晓率。二是加强与执法大队、市政、环卫等多个部门的沟通协调，及时更新涉及城市管理相关信息，全面推进政府信息公开工作。</w:t>
      </w:r>
    </w:p>
    <w:p>
      <w:pPr>
        <w:spacing w:line="576" w:lineRule="exact"/>
        <w:ind w:firstLine="640" w:firstLineChars="20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六、其他需要报告的事项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5566A"/>
    <w:multiLevelType w:val="singleLevel"/>
    <w:tmpl w:val="65D5566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926FC"/>
    <w:rsid w:val="0F0A2B29"/>
    <w:rsid w:val="1126173A"/>
    <w:rsid w:val="160B30A6"/>
    <w:rsid w:val="161B6568"/>
    <w:rsid w:val="18120D3C"/>
    <w:rsid w:val="18F926FC"/>
    <w:rsid w:val="23FD7F2C"/>
    <w:rsid w:val="26954E6E"/>
    <w:rsid w:val="2A785672"/>
    <w:rsid w:val="2CC75060"/>
    <w:rsid w:val="2E3B1925"/>
    <w:rsid w:val="2E741933"/>
    <w:rsid w:val="377325DA"/>
    <w:rsid w:val="3A0547F2"/>
    <w:rsid w:val="3C262BF1"/>
    <w:rsid w:val="3E0D3A30"/>
    <w:rsid w:val="41BA4CEF"/>
    <w:rsid w:val="4907383E"/>
    <w:rsid w:val="4E037590"/>
    <w:rsid w:val="500A691F"/>
    <w:rsid w:val="50955C6A"/>
    <w:rsid w:val="5208383B"/>
    <w:rsid w:val="532B0336"/>
    <w:rsid w:val="55554908"/>
    <w:rsid w:val="5C062078"/>
    <w:rsid w:val="5E3E2449"/>
    <w:rsid w:val="5FCA0F0C"/>
    <w:rsid w:val="5FD03F5B"/>
    <w:rsid w:val="602F7B17"/>
    <w:rsid w:val="610F60C5"/>
    <w:rsid w:val="63D30E76"/>
    <w:rsid w:val="66964A98"/>
    <w:rsid w:val="70BA5827"/>
    <w:rsid w:val="70C905E7"/>
    <w:rsid w:val="78307C28"/>
    <w:rsid w:val="7F43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2024-02-21T01:11:00Z</dcterms:created>
  <dc:creator>gyb1</dc:creator>
  <cp:lastModifiedBy>gyb1</cp:lastModifiedBy>
  <dcterms:modified xsi:type="dcterms:W3CDTF">2024-02-21T01:24:38Z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