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六安市叶集区文化旅游体育局202</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年政府信息公开工作年度报告</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仿宋_GB2312" w:cs="Times New Roman"/>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根据新修订《中华人民共和国政府信息公开条例》，（以下简称《条例》）以及上级有关文件精神等要求，编制本报告。全文包括总体情况、主动公开政府信息情况、收到和处理政府信息公开申请情况、政府信息公开行政复议、行政诉讼情况、存在的主要问题和改进情况和其他需要报告的事项。本年度报告中使用数据统计期限为2022年1月1日至2022年12月31日，本年度报告电子版可在六安市叶集区文化旅游体育局信息公开平台下</w:t>
      </w:r>
      <w:r>
        <w:rPr>
          <w:rFonts w:hint="eastAsia" w:cs="Times New Roman"/>
          <w:color w:val="000000"/>
          <w:kern w:val="2"/>
          <w:sz w:val="32"/>
          <w:szCs w:val="32"/>
          <w:lang w:val="en-US" w:eastAsia="zh-CN" w:bidi="ar-SA"/>
        </w:rPr>
        <w:t>载</w:t>
      </w:r>
      <w:r>
        <w:rPr>
          <w:rFonts w:hint="eastAsia" w:ascii="Times New Roman" w:hAnsi="Times New Roman" w:eastAsia="仿宋_GB2312" w:cs="Times New Roman"/>
          <w:color w:val="000000"/>
          <w:kern w:val="2"/>
          <w:sz w:val="32"/>
          <w:szCs w:val="32"/>
          <w:lang w:val="en-US" w:eastAsia="zh-CN" w:bidi="ar-SA"/>
        </w:rPr>
        <w:t>（https://www.ahyeji.gov.cn/public/column/6599181?type=4&amp;action=list&amp;nav=3&amp;catId=7067611）。如对本年度报告有疑问，请与六安市叶集区文旅体局联系（地址：叶集区文化广播电视中心410室；联系电话：0564-6550700）。</w:t>
      </w: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ascii="Times New Roman" w:eastAsia="黑体"/>
        </w:rPr>
      </w:pPr>
      <w:r>
        <w:rPr>
          <w:rFonts w:hint="eastAsia" w:ascii="Times New Roman" w:eastAsia="黑体"/>
        </w:rPr>
        <w:t>一、总体情况</w:t>
      </w: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区文旅体局按照国务院办公厅年度政务公开工作要点及区政务公开工作任务分工，全面推进决策、执行、管理、服务和结果公开，不断拓展公开内容，创新公开形式，完善公开制度，强化公开监督，推进行政权力公开透明运行。</w:t>
      </w: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主动公开情况：突出重点领域信息公开，在公共服务栏目更新文化惠民完成情况、公益性文化活动开展情况等信息100余条；在旅游栏目公开旅游市场抽查计划、结果、投诉办理情况等，发布信息100余条，发布财政信息10余条。强化政策发布和解读，发布《叶集区“十四五”文化旅游体育发展规划》，配套文字、图片、简明问答、新闻发布会解读，丰富解读形式。通过“主动回应”栏目更新群众关注的热点信息，发布疫情防控提醒等。全年共发布政务动态信息94条，发布信息公开目录信息850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76" w:lineRule="exact"/>
        <w:ind w:left="0" w:right="0" w:firstLine="674"/>
        <w:jc w:val="lef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依申请公开情况：根据区政府办公室和区政务公开办要求，对照申请公开办理的标准化流程和回复模板，在办理网络和书面申请公开事项中，主动沟通对接，强化时间意识，不断提高依申请公开办理质量，切实保障公众知情权。全年共受理依申请公开0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76" w:lineRule="exact"/>
        <w:ind w:left="0" w:right="0" w:firstLine="674"/>
        <w:jc w:val="lef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3.政府信息管理：明确分管领导和经办人员，抓好政府信息发布审核流程。制定信息三审制度，规范各类信息发布流程监管和责任追究，严格落实“三审”制度，切实加强网络信息管控。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76" w:lineRule="exact"/>
        <w:ind w:left="0" w:right="0" w:firstLine="674"/>
        <w:jc w:val="lef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4.政府信息公开平台建设情况：定期安排网站平台维护更新，编制调整、规范完善主动公开基本目录。通过微信公众号平台加大政策宣传，发布文化场馆</w:t>
      </w:r>
      <w:r>
        <w:rPr>
          <w:rFonts w:hint="eastAsia" w:cs="Times New Roman"/>
          <w:color w:val="000000"/>
          <w:kern w:val="2"/>
          <w:sz w:val="32"/>
          <w:szCs w:val="32"/>
          <w:lang w:val="en-US" w:eastAsia="zh-CN" w:bidi="ar-SA"/>
        </w:rPr>
        <w:t>活动</w:t>
      </w:r>
      <w:bookmarkStart w:id="0" w:name="_GoBack"/>
      <w:bookmarkEnd w:id="0"/>
      <w:r>
        <w:rPr>
          <w:rFonts w:hint="eastAsia" w:ascii="Times New Roman" w:hAnsi="Times New Roman" w:eastAsia="仿宋_GB2312" w:cs="Times New Roman"/>
          <w:color w:val="000000"/>
          <w:kern w:val="2"/>
          <w:sz w:val="32"/>
          <w:szCs w:val="32"/>
          <w:lang w:val="en-US" w:eastAsia="zh-CN" w:bidi="ar-SA"/>
        </w:rPr>
        <w:t>、旅游资讯等信息，进一步提升服务水平。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76" w:lineRule="exact"/>
        <w:ind w:left="0" w:right="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监督保障：根据人事变动，及时调整了政务公开工作分管领导和经办人员，对政务公开工作进行了明确界定，分解任务，责任到人。按照“谁制作、谁公开、谁负责”原则，落实公开责任覆盖局属各单位、机关各科室。安排专人按时参加全市政务公开培训等，按季度公开政务公开测评整改情况。</w:t>
      </w: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hAnsi="仿宋_GB2312" w:cs="仿宋_GB2312"/>
          <w:i w:val="0"/>
          <w:iCs w:val="0"/>
          <w:caps w:val="0"/>
          <w:color w:val="000000"/>
          <w:spacing w:val="0"/>
          <w:sz w:val="32"/>
          <w:szCs w:val="32"/>
          <w:shd w:val="clear" w:fill="FFFFFF"/>
          <w:lang w:eastAsia="zh-CN"/>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ascii="Times New Roman" w:eastAsia="黑体"/>
        </w:rPr>
      </w:pPr>
      <w:r>
        <w:rPr>
          <w:rFonts w:hint="eastAsia" w:ascii="Times New Roman" w:eastAsia="黑体"/>
        </w:rPr>
        <w:t>二、主动公开政府信息情况</w:t>
      </w:r>
    </w:p>
    <w:tbl>
      <w:tblPr>
        <w:tblStyle w:val="5"/>
        <w:tblW w:w="5000" w:type="pct"/>
        <w:tblInd w:w="0" w:type="dxa"/>
        <w:tblLayout w:type="fixed"/>
        <w:tblCellMar>
          <w:top w:w="0" w:type="dxa"/>
          <w:left w:w="0" w:type="dxa"/>
          <w:bottom w:w="0" w:type="dxa"/>
          <w:right w:w="0" w:type="dxa"/>
        </w:tblCellMar>
      </w:tblPr>
      <w:tblGrid>
        <w:gridCol w:w="2240"/>
        <w:gridCol w:w="2240"/>
        <w:gridCol w:w="2239"/>
        <w:gridCol w:w="2239"/>
      </w:tblGrid>
      <w:tr>
        <w:tblPrEx>
          <w:tblCellMar>
            <w:top w:w="0" w:type="dxa"/>
            <w:left w:w="0" w:type="dxa"/>
            <w:bottom w:w="0" w:type="dxa"/>
            <w:right w:w="0" w:type="dxa"/>
          </w:tblCellMar>
        </w:tblPrEx>
        <w:trPr>
          <w:trHeight w:val="567" w:hRule="atLeast"/>
        </w:trPr>
        <w:tc>
          <w:tcPr>
            <w:tcW w:w="9740" w:type="dxa"/>
            <w:gridSpan w:val="4"/>
            <w:tcBorders>
              <w:top w:val="single" w:color="auto" w:sz="12" w:space="0"/>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第二十条第（一）项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本年废止件数</w:t>
            </w:r>
          </w:p>
        </w:tc>
        <w:tc>
          <w:tcPr>
            <w:tcW w:w="2435" w:type="dxa"/>
            <w:tcBorders>
              <w:top w:val="single" w:color="auto" w:sz="8" w:space="0"/>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现行有效件数</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s="宋体"/>
                <w:color w:val="000000"/>
                <w:kern w:val="0"/>
                <w:szCs w:val="21"/>
              </w:rPr>
            </w:pPr>
            <w:r>
              <w:rPr>
                <w:rFonts w:hint="eastAsia" w:eastAsia="华文中宋" w:cs="宋体"/>
                <w:color w:val="000000"/>
                <w:kern w:val="0"/>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s="宋体"/>
                <w:color w:val="000000"/>
                <w:kern w:val="0"/>
                <w:szCs w:val="21"/>
              </w:rPr>
            </w:pPr>
            <w:r>
              <w:rPr>
                <w:rFonts w:hint="eastAsia" w:eastAsia="华文中宋" w:cs="宋体"/>
                <w:color w:val="000000"/>
                <w:kern w:val="0"/>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9740" w:type="dxa"/>
            <w:gridSpan w:val="4"/>
            <w:tcBorders>
              <w:top w:val="nil"/>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第二十条第（五）项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信息内容</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本年处理决定数量</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行政许可</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olor w:val="000000"/>
                <w:szCs w:val="21"/>
                <w:lang w:val="en-US" w:eastAsia="zh-CN"/>
              </w:rPr>
            </w:pPr>
            <w:r>
              <w:rPr>
                <w:rFonts w:hint="eastAsia" w:eastAsia="华文中宋"/>
                <w:color w:val="000000"/>
                <w:szCs w:val="21"/>
                <w:lang w:val="en-US" w:eastAsia="zh-CN"/>
              </w:rPr>
              <w:t>12</w:t>
            </w:r>
          </w:p>
        </w:tc>
      </w:tr>
      <w:tr>
        <w:tblPrEx>
          <w:tblCellMar>
            <w:top w:w="0" w:type="dxa"/>
            <w:left w:w="0" w:type="dxa"/>
            <w:bottom w:w="0" w:type="dxa"/>
            <w:right w:w="0" w:type="dxa"/>
          </w:tblCellMar>
        </w:tblPrEx>
        <w:trPr>
          <w:trHeight w:val="567" w:hRule="atLeast"/>
        </w:trPr>
        <w:tc>
          <w:tcPr>
            <w:tcW w:w="9740" w:type="dxa"/>
            <w:gridSpan w:val="4"/>
            <w:tcBorders>
              <w:top w:val="nil"/>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第二十条第（六）项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信息内容</w:t>
            </w:r>
          </w:p>
        </w:tc>
        <w:tc>
          <w:tcPr>
            <w:tcW w:w="7305" w:type="dxa"/>
            <w:gridSpan w:val="3"/>
            <w:tcBorders>
              <w:top w:val="single" w:color="auto" w:sz="8" w:space="0"/>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本年处理决定数量</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s="宋体"/>
                <w:color w:val="000000"/>
                <w:kern w:val="0"/>
                <w:szCs w:val="21"/>
              </w:rPr>
            </w:pPr>
            <w:r>
              <w:rPr>
                <w:rFonts w:hint="eastAsia" w:eastAsia="华文中宋" w:cs="宋体"/>
                <w:color w:val="000000"/>
                <w:kern w:val="0"/>
                <w:szCs w:val="21"/>
              </w:rPr>
              <w:t>行政处罚</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s="宋体"/>
                <w:color w:val="000000"/>
                <w:kern w:val="0"/>
                <w:szCs w:val="21"/>
                <w:lang w:val="en-US" w:eastAsia="zh-CN"/>
              </w:rPr>
            </w:pPr>
            <w:r>
              <w:rPr>
                <w:rFonts w:hint="eastAsia" w:eastAsia="华文中宋" w:cs="宋体"/>
                <w:color w:val="000000"/>
                <w:kern w:val="0"/>
                <w:szCs w:val="21"/>
                <w:lang w:val="en-US" w:eastAsia="zh-CN"/>
              </w:rPr>
              <w:t>1</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s="宋体"/>
                <w:color w:val="000000"/>
                <w:kern w:val="0"/>
                <w:szCs w:val="21"/>
              </w:rPr>
            </w:pPr>
            <w:r>
              <w:rPr>
                <w:rFonts w:hint="eastAsia" w:eastAsia="华文中宋" w:cs="宋体"/>
                <w:color w:val="000000"/>
                <w:kern w:val="0"/>
                <w:szCs w:val="21"/>
              </w:rPr>
              <w:t>行政强制</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9740" w:type="dxa"/>
            <w:gridSpan w:val="4"/>
            <w:tcBorders>
              <w:top w:val="nil"/>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第二十条第（八）项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信息内容</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本年收费金额（单位：万元）</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12"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行政事业性收费</w:t>
            </w:r>
          </w:p>
        </w:tc>
        <w:tc>
          <w:tcPr>
            <w:tcW w:w="7305" w:type="dxa"/>
            <w:gridSpan w:val="3"/>
            <w:tcBorders>
              <w:top w:val="nil"/>
              <w:left w:val="nil"/>
              <w:bottom w:val="single" w:color="auto" w:sz="12" w:space="0"/>
              <w:right w:val="single" w:color="auto" w:sz="12"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r>
    </w:tbl>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ascii="Times New Roman" w:eastAsia="黑体"/>
        </w:rPr>
      </w:pPr>
      <w:r>
        <w:rPr>
          <w:rFonts w:hint="eastAsia" w:ascii="Times New Roman" w:eastAsia="黑体"/>
        </w:rPr>
        <w:t>三、收到和处理政府信息公开申请情况</w:t>
      </w:r>
    </w:p>
    <w:tbl>
      <w:tblPr>
        <w:tblStyle w:val="5"/>
        <w:tblW w:w="4887" w:type="pct"/>
        <w:tblInd w:w="15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94"/>
        <w:gridCol w:w="855"/>
        <w:gridCol w:w="2843"/>
        <w:gridCol w:w="620"/>
        <w:gridCol w:w="632"/>
        <w:gridCol w:w="632"/>
        <w:gridCol w:w="632"/>
        <w:gridCol w:w="632"/>
        <w:gridCol w:w="632"/>
        <w:gridCol w:w="6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1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eastAsia="华文中宋" w:cs="楷体"/>
                <w:color w:val="000000"/>
                <w:kern w:val="0"/>
                <w:szCs w:val="21"/>
              </w:rPr>
              <w:t>（本列数据的勾稽关系为：第一项加第二项之和，等于第三项加第四项之和）</w:t>
            </w:r>
          </w:p>
        </w:tc>
        <w:tc>
          <w:tcPr>
            <w:tcW w:w="4440"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1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624"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自然人</w:t>
            </w:r>
          </w:p>
        </w:tc>
        <w:tc>
          <w:tcPr>
            <w:tcW w:w="318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法人或其他组织</w:t>
            </w:r>
          </w:p>
        </w:tc>
        <w:tc>
          <w:tcPr>
            <w:tcW w:w="636"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1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624"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636"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商业</w:t>
            </w:r>
          </w:p>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企业</w:t>
            </w:r>
          </w:p>
        </w:tc>
        <w:tc>
          <w:tcPr>
            <w:tcW w:w="636"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科研</w:t>
            </w:r>
          </w:p>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机构</w:t>
            </w:r>
          </w:p>
        </w:tc>
        <w:tc>
          <w:tcPr>
            <w:tcW w:w="636"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社会公益组织</w:t>
            </w:r>
          </w:p>
        </w:tc>
        <w:tc>
          <w:tcPr>
            <w:tcW w:w="636"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法律服务机构</w:t>
            </w:r>
          </w:p>
        </w:tc>
        <w:tc>
          <w:tcPr>
            <w:tcW w:w="636"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其他</w:t>
            </w:r>
          </w:p>
        </w:tc>
        <w:tc>
          <w:tcPr>
            <w:tcW w:w="636"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1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一、本年新收政府信息公开申请数量</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1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二、上年结转政府信息公开申请数量</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三、本年度办理结果</w:t>
            </w:r>
          </w:p>
        </w:tc>
        <w:tc>
          <w:tcPr>
            <w:tcW w:w="3719"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（一）予以公开</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3719"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（二）部分公开</w:t>
            </w:r>
            <w:r>
              <w:rPr>
                <w:rFonts w:hint="eastAsia" w:eastAsia="华文中宋" w:cs="楷体"/>
                <w:color w:val="000000"/>
                <w:kern w:val="0"/>
                <w:szCs w:val="21"/>
              </w:rPr>
              <w:t>（区分处理的，只计这一情形，不计其他情形）</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（三）不予公开</w:t>
            </w: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1.属于国家秘密</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2.其他法律行政法规禁止公开</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3.危及“三安全一稳定”</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4.保护第三方合法权益</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5.属于三类内部事务信息</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6.属于四类过程性信息</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7.属于行政执法案卷</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8.属于行政查询事项</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（四）无法提供</w:t>
            </w: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1.本机关不掌握相关政府信息</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2.没有现成信息需要另行制作</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3.补正后申请内容仍不明确</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（五）不予处理</w:t>
            </w: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1.信访举报投诉类申请</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2.重复申请</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3.要求提供公开出版物</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4.无正当理由大量反复申请</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5.要求行政机关确认或重新出具已获取信息</w:t>
            </w:r>
          </w:p>
        </w:tc>
        <w:tc>
          <w:tcPr>
            <w:tcW w:w="62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（六）其他处理</w:t>
            </w: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1.申请人无正当理由逾期不补正、行政机关不再处理其政府信息公开申请</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2.申请人逾期未按收费通知要求缴纳费用、行政机关不再处理其政府信息公开申请</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860"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28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3.其他</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9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szCs w:val="21"/>
              </w:rPr>
            </w:pPr>
          </w:p>
        </w:tc>
        <w:tc>
          <w:tcPr>
            <w:tcW w:w="3719"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（七）总计</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1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szCs w:val="21"/>
              </w:rPr>
            </w:pPr>
            <w:r>
              <w:rPr>
                <w:rFonts w:hint="eastAsia" w:eastAsia="华文中宋" w:cs="宋体"/>
                <w:color w:val="000000"/>
                <w:kern w:val="0"/>
                <w:szCs w:val="21"/>
              </w:rPr>
              <w:t>四、结转下年度继续办理</w:t>
            </w:r>
          </w:p>
        </w:tc>
        <w:tc>
          <w:tcPr>
            <w:tcW w:w="62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hint="eastAsia" w:eastAsia="华文中宋"/>
                <w:color w:val="000000"/>
                <w:szCs w:val="21"/>
                <w:lang w:val="en-US" w:eastAsia="zh-CN"/>
              </w:rPr>
            </w:pPr>
            <w:r>
              <w:rPr>
                <w:rFonts w:hint="eastAsia" w:eastAsia="华文中宋"/>
                <w:color w:val="000000"/>
                <w:szCs w:val="21"/>
                <w:lang w:val="en-US" w:eastAsia="zh-CN"/>
              </w:rPr>
              <w:t>0</w:t>
            </w:r>
          </w:p>
        </w:tc>
      </w:tr>
    </w:tbl>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p>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ascii="Times New Roman" w:eastAsia="黑体"/>
        </w:rPr>
      </w:pPr>
      <w:r>
        <w:rPr>
          <w:rFonts w:hint="eastAsia" w:ascii="Times New Roman" w:eastAsia="黑体"/>
        </w:rPr>
        <w:t>四、政府信息公开行政复议、行政诉讼情况</w:t>
      </w:r>
    </w:p>
    <w:tbl>
      <w:tblPr>
        <w:tblStyle w:val="5"/>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3020" w:type="dxa"/>
            <w:gridSpan w:val="5"/>
            <w:tcBorders>
              <w:top w:val="single" w:color="auto" w:sz="12" w:space="0"/>
              <w:left w:val="single" w:color="auto" w:sz="12"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行政复议</w:t>
            </w:r>
          </w:p>
        </w:tc>
        <w:tc>
          <w:tcPr>
            <w:tcW w:w="6040" w:type="dxa"/>
            <w:gridSpan w:val="10"/>
            <w:tcBorders>
              <w:top w:val="single" w:color="auto" w:sz="12" w:space="0"/>
              <w:left w:val="single" w:color="auto" w:sz="8" w:space="0"/>
              <w:bottom w:val="single" w:color="auto" w:sz="8" w:space="0"/>
              <w:right w:val="single" w:color="auto" w:sz="12"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604" w:type="dxa"/>
            <w:vMerge w:val="restart"/>
            <w:tcBorders>
              <w:top w:val="nil"/>
              <w:left w:val="single" w:color="auto" w:sz="12"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结果维持</w:t>
            </w:r>
          </w:p>
        </w:tc>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结果</w:t>
            </w:r>
            <w:r>
              <w:rPr>
                <w:rFonts w:hint="eastAsia" w:eastAsia="华文中宋" w:cs="宋体"/>
                <w:color w:val="000000"/>
                <w:w w:val="85"/>
                <w:kern w:val="0"/>
                <w:szCs w:val="21"/>
              </w:rPr>
              <w:br w:type="textWrapping"/>
            </w:r>
            <w:r>
              <w:rPr>
                <w:rFonts w:hint="eastAsia" w:eastAsia="华文中宋" w:cs="宋体"/>
                <w:color w:val="000000"/>
                <w:w w:val="85"/>
                <w:kern w:val="0"/>
                <w:szCs w:val="21"/>
              </w:rPr>
              <w:t>纠正</w:t>
            </w:r>
          </w:p>
        </w:tc>
        <w:tc>
          <w:tcPr>
            <w:tcW w:w="60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其他</w:t>
            </w:r>
            <w:r>
              <w:rPr>
                <w:rFonts w:hint="eastAsia" w:eastAsia="华文中宋" w:cs="宋体"/>
                <w:color w:val="000000"/>
                <w:w w:val="85"/>
                <w:kern w:val="0"/>
                <w:szCs w:val="21"/>
              </w:rPr>
              <w:br w:type="textWrapping"/>
            </w:r>
            <w:r>
              <w:rPr>
                <w:rFonts w:hint="eastAsia" w:eastAsia="华文中宋" w:cs="宋体"/>
                <w:color w:val="000000"/>
                <w:w w:val="85"/>
                <w:kern w:val="0"/>
                <w:szCs w:val="21"/>
              </w:rPr>
              <w:t>结果</w:t>
            </w:r>
          </w:p>
        </w:tc>
        <w:tc>
          <w:tcPr>
            <w:tcW w:w="60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尚未</w:t>
            </w:r>
            <w:r>
              <w:rPr>
                <w:rFonts w:hint="eastAsia" w:eastAsia="华文中宋" w:cs="宋体"/>
                <w:color w:val="000000"/>
                <w:w w:val="85"/>
                <w:kern w:val="0"/>
                <w:szCs w:val="21"/>
              </w:rPr>
              <w:br w:type="textWrapping"/>
            </w:r>
            <w:r>
              <w:rPr>
                <w:rFonts w:hint="eastAsia" w:eastAsia="华文中宋" w:cs="宋体"/>
                <w:color w:val="000000"/>
                <w:w w:val="85"/>
                <w:kern w:val="0"/>
                <w:szCs w:val="21"/>
              </w:rPr>
              <w:t>审结</w:t>
            </w:r>
          </w:p>
        </w:tc>
        <w:tc>
          <w:tcPr>
            <w:tcW w:w="60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总计</w:t>
            </w:r>
          </w:p>
        </w:tc>
        <w:tc>
          <w:tcPr>
            <w:tcW w:w="302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未经复议直接起诉</w:t>
            </w:r>
          </w:p>
        </w:tc>
        <w:tc>
          <w:tcPr>
            <w:tcW w:w="3020" w:type="dxa"/>
            <w:gridSpan w:val="5"/>
            <w:tcBorders>
              <w:top w:val="single" w:color="auto" w:sz="8" w:space="0"/>
              <w:left w:val="single" w:color="auto" w:sz="8" w:space="0"/>
              <w:bottom w:val="single" w:color="auto" w:sz="8" w:space="0"/>
              <w:right w:val="single" w:color="auto" w:sz="12"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604" w:type="dxa"/>
            <w:vMerge w:val="continue"/>
            <w:tcBorders>
              <w:top w:val="nil"/>
              <w:left w:val="single" w:color="auto" w:sz="12"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w w:val="85"/>
                <w:szCs w:val="21"/>
              </w:rPr>
            </w:pPr>
          </w:p>
        </w:tc>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w w:val="85"/>
                <w:szCs w:val="21"/>
              </w:rPr>
            </w:pPr>
          </w:p>
        </w:tc>
        <w:tc>
          <w:tcPr>
            <w:tcW w:w="60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w w:val="85"/>
                <w:szCs w:val="21"/>
              </w:rPr>
            </w:pPr>
          </w:p>
        </w:tc>
        <w:tc>
          <w:tcPr>
            <w:tcW w:w="60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w w:val="85"/>
                <w:szCs w:val="21"/>
              </w:rPr>
            </w:pPr>
          </w:p>
        </w:tc>
        <w:tc>
          <w:tcPr>
            <w:tcW w:w="60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eastAsia="华文中宋"/>
                <w:color w:val="000000"/>
                <w:w w:val="85"/>
                <w:szCs w:val="21"/>
              </w:rPr>
            </w:pPr>
          </w:p>
        </w:tc>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结果</w:t>
            </w:r>
            <w:r>
              <w:rPr>
                <w:rFonts w:hint="eastAsia" w:eastAsia="华文中宋" w:cs="宋体"/>
                <w:color w:val="000000"/>
                <w:w w:val="85"/>
                <w:kern w:val="0"/>
                <w:szCs w:val="21"/>
              </w:rPr>
              <w:br w:type="textWrapping"/>
            </w:r>
            <w:r>
              <w:rPr>
                <w:rFonts w:hint="eastAsia" w:eastAsia="华文中宋" w:cs="宋体"/>
                <w:color w:val="000000"/>
                <w:w w:val="85"/>
                <w:kern w:val="0"/>
                <w:szCs w:val="21"/>
              </w:rPr>
              <w:t>维持</w:t>
            </w:r>
          </w:p>
        </w:tc>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结果</w:t>
            </w:r>
            <w:r>
              <w:rPr>
                <w:rFonts w:hint="eastAsia" w:eastAsia="华文中宋" w:cs="宋体"/>
                <w:color w:val="000000"/>
                <w:w w:val="85"/>
                <w:kern w:val="0"/>
                <w:szCs w:val="21"/>
              </w:rPr>
              <w:br w:type="textWrapping"/>
            </w:r>
            <w:r>
              <w:rPr>
                <w:rFonts w:hint="eastAsia" w:eastAsia="华文中宋" w:cs="宋体"/>
                <w:color w:val="000000"/>
                <w:w w:val="85"/>
                <w:kern w:val="0"/>
                <w:szCs w:val="21"/>
              </w:rPr>
              <w:t>纠正</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其他</w:t>
            </w:r>
            <w:r>
              <w:rPr>
                <w:rFonts w:hint="eastAsia" w:eastAsia="华文中宋" w:cs="宋体"/>
                <w:color w:val="000000"/>
                <w:w w:val="85"/>
                <w:kern w:val="0"/>
                <w:szCs w:val="21"/>
              </w:rPr>
              <w:br w:type="textWrapping"/>
            </w:r>
            <w:r>
              <w:rPr>
                <w:rFonts w:hint="eastAsia" w:eastAsia="华文中宋" w:cs="宋体"/>
                <w:color w:val="000000"/>
                <w:w w:val="85"/>
                <w:kern w:val="0"/>
                <w:szCs w:val="21"/>
              </w:rPr>
              <w:t>结果</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尚未</w:t>
            </w:r>
            <w:r>
              <w:rPr>
                <w:rFonts w:hint="eastAsia" w:eastAsia="华文中宋" w:cs="宋体"/>
                <w:color w:val="000000"/>
                <w:w w:val="85"/>
                <w:kern w:val="0"/>
                <w:szCs w:val="21"/>
              </w:rPr>
              <w:br w:type="textWrapping"/>
            </w:r>
            <w:r>
              <w:rPr>
                <w:rFonts w:hint="eastAsia" w:eastAsia="华文中宋" w:cs="宋体"/>
                <w:color w:val="000000"/>
                <w:w w:val="85"/>
                <w:kern w:val="0"/>
                <w:szCs w:val="21"/>
              </w:rPr>
              <w:t>审结</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总计</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结果</w:t>
            </w:r>
            <w:r>
              <w:rPr>
                <w:rFonts w:hint="eastAsia" w:eastAsia="华文中宋" w:cs="宋体"/>
                <w:color w:val="000000"/>
                <w:w w:val="85"/>
                <w:kern w:val="0"/>
                <w:szCs w:val="21"/>
              </w:rPr>
              <w:br w:type="textWrapping"/>
            </w:r>
            <w:r>
              <w:rPr>
                <w:rFonts w:hint="eastAsia" w:eastAsia="华文中宋" w:cs="宋体"/>
                <w:color w:val="000000"/>
                <w:w w:val="85"/>
                <w:kern w:val="0"/>
                <w:szCs w:val="21"/>
              </w:rPr>
              <w:t>维持</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结果</w:t>
            </w:r>
            <w:r>
              <w:rPr>
                <w:rFonts w:hint="eastAsia" w:eastAsia="华文中宋" w:cs="宋体"/>
                <w:color w:val="000000"/>
                <w:w w:val="85"/>
                <w:kern w:val="0"/>
                <w:szCs w:val="21"/>
              </w:rPr>
              <w:br w:type="textWrapping"/>
            </w:r>
            <w:r>
              <w:rPr>
                <w:rFonts w:hint="eastAsia" w:eastAsia="华文中宋" w:cs="宋体"/>
                <w:color w:val="000000"/>
                <w:w w:val="85"/>
                <w:kern w:val="0"/>
                <w:szCs w:val="21"/>
              </w:rPr>
              <w:t>纠正</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其他</w:t>
            </w:r>
            <w:r>
              <w:rPr>
                <w:rFonts w:hint="eastAsia" w:eastAsia="华文中宋" w:cs="宋体"/>
                <w:color w:val="000000"/>
                <w:w w:val="85"/>
                <w:kern w:val="0"/>
                <w:szCs w:val="21"/>
              </w:rPr>
              <w:br w:type="textWrapping"/>
            </w:r>
            <w:r>
              <w:rPr>
                <w:rFonts w:hint="eastAsia" w:eastAsia="华文中宋" w:cs="宋体"/>
                <w:color w:val="000000"/>
                <w:w w:val="85"/>
                <w:kern w:val="0"/>
                <w:szCs w:val="21"/>
              </w:rPr>
              <w:t>结果</w:t>
            </w:r>
          </w:p>
        </w:tc>
        <w:tc>
          <w:tcPr>
            <w:tcW w:w="6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尚未</w:t>
            </w:r>
            <w:r>
              <w:rPr>
                <w:rFonts w:hint="eastAsia" w:eastAsia="华文中宋" w:cs="宋体"/>
                <w:color w:val="000000"/>
                <w:w w:val="85"/>
                <w:kern w:val="0"/>
                <w:szCs w:val="21"/>
              </w:rPr>
              <w:br w:type="textWrapping"/>
            </w:r>
            <w:r>
              <w:rPr>
                <w:rFonts w:hint="eastAsia" w:eastAsia="华文中宋" w:cs="宋体"/>
                <w:color w:val="000000"/>
                <w:w w:val="85"/>
                <w:kern w:val="0"/>
                <w:szCs w:val="21"/>
              </w:rPr>
              <w:t>审结</w:t>
            </w:r>
          </w:p>
        </w:tc>
        <w:tc>
          <w:tcPr>
            <w:tcW w:w="604" w:type="dxa"/>
            <w:tcBorders>
              <w:top w:val="single" w:color="auto" w:sz="8" w:space="0"/>
              <w:left w:val="single" w:color="auto" w:sz="8" w:space="0"/>
              <w:bottom w:val="single" w:color="auto" w:sz="8" w:space="0"/>
              <w:right w:val="single" w:color="auto" w:sz="12"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eastAsia="华文中宋"/>
                <w:color w:val="000000"/>
                <w:w w:val="85"/>
                <w:szCs w:val="21"/>
              </w:rPr>
            </w:pPr>
            <w:r>
              <w:rPr>
                <w:rFonts w:hint="eastAsia" w:eastAsia="华文中宋" w:cs="宋体"/>
                <w:color w:val="000000"/>
                <w:w w:val="85"/>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9" w:hRule="atLeast"/>
        </w:trPr>
        <w:tc>
          <w:tcPr>
            <w:tcW w:w="604" w:type="dxa"/>
            <w:tcBorders>
              <w:top w:val="nil"/>
              <w:left w:val="single" w:color="auto" w:sz="12"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04" w:type="dxa"/>
            <w:tcBorders>
              <w:top w:val="nil"/>
              <w:left w:val="single" w:color="auto" w:sz="8" w:space="0"/>
              <w:bottom w:val="single" w:color="auto" w:sz="12" w:space="0"/>
              <w:right w:val="single" w:color="auto" w:sz="12" w:space="0"/>
            </w:tcBorders>
            <w:noWrap w:val="0"/>
            <w:tcMar>
              <w:left w:w="108" w:type="dxa"/>
              <w:right w:w="108" w:type="dxa"/>
            </w:tcMar>
            <w:vAlign w:val="center"/>
          </w:tcPr>
          <w:p>
            <w:pPr>
              <w:keepNext w:val="0"/>
              <w:keepLines w:val="0"/>
              <w:pageBreakBefore w:val="0"/>
              <w:kinsoku/>
              <w:wordWrap/>
              <w:overflowPunct/>
              <w:topLinePunct w:val="0"/>
              <w:autoSpaceDE/>
              <w:autoSpaceDN/>
              <w:bidi w:val="0"/>
              <w:snapToGrid/>
              <w:spacing w:line="576" w:lineRule="exact"/>
              <w:jc w:val="center"/>
              <w:textAlignment w:val="auto"/>
              <w:rPr>
                <w:rFonts w:hint="eastAsia" w:eastAsia="华文中宋"/>
                <w:color w:val="000000"/>
                <w:w w:val="85"/>
                <w:szCs w:val="21"/>
                <w:lang w:val="en-US" w:eastAsia="zh-CN"/>
              </w:rPr>
            </w:pPr>
            <w:r>
              <w:rPr>
                <w:rFonts w:hint="eastAsia" w:eastAsia="华文中宋"/>
                <w:color w:val="000000"/>
                <w:w w:val="85"/>
                <w:szCs w:val="21"/>
                <w:lang w:val="en-US" w:eastAsia="zh-CN"/>
              </w:rPr>
              <w:t>0</w:t>
            </w:r>
          </w:p>
        </w:tc>
      </w:tr>
    </w:tbl>
    <w:p>
      <w:pPr>
        <w:pStyle w:val="3"/>
        <w:keepNext w:val="0"/>
        <w:keepLines w:val="0"/>
        <w:pageBreakBefore w:val="0"/>
        <w:kinsoku/>
        <w:wordWrap/>
        <w:overflowPunct/>
        <w:topLinePunct w:val="0"/>
        <w:autoSpaceDE/>
        <w:autoSpaceDN/>
        <w:bidi w:val="0"/>
        <w:snapToGrid/>
        <w:spacing w:after="0" w:line="576" w:lineRule="exact"/>
        <w:ind w:left="0" w:leftChars="0" w:firstLine="640" w:firstLineChars="200"/>
        <w:textAlignment w:val="auto"/>
        <w:rPr>
          <w:rFonts w:ascii="Times New Roman" w:eastAsia="黑体"/>
        </w:rPr>
      </w:pPr>
      <w:r>
        <w:rPr>
          <w:rFonts w:hint="eastAsia" w:ascii="Times New Roman" w:eastAsia="黑体"/>
        </w:rPr>
        <w:t>五、存在的主要问题及改进情况</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color w:val="000000"/>
          <w:sz w:val="32"/>
          <w:szCs w:val="32"/>
          <w:lang w:val="en-US" w:eastAsia="zh-CN"/>
        </w:rPr>
      </w:pPr>
      <w:r>
        <w:rPr>
          <w:rFonts w:hint="eastAsia"/>
          <w:color w:val="000000"/>
          <w:sz w:val="32"/>
          <w:szCs w:val="32"/>
          <w:lang w:val="en-US" w:eastAsia="zh-CN"/>
        </w:rPr>
        <w:t>（一）存在问题</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color w:val="000000"/>
          <w:sz w:val="32"/>
          <w:szCs w:val="32"/>
          <w:lang w:val="en-US" w:eastAsia="zh-CN"/>
        </w:rPr>
      </w:pPr>
      <w:r>
        <w:rPr>
          <w:rFonts w:hint="eastAsia"/>
          <w:color w:val="000000"/>
          <w:sz w:val="32"/>
          <w:szCs w:val="32"/>
          <w:lang w:val="en-US" w:eastAsia="zh-CN"/>
        </w:rPr>
        <w:t>一是公开意识需要进一步强化。对新《条例》中的新要求理解还不够透，对公众的需求还存在一些距离，信息公开内容的完整性、及时性距离新《条例》要求还有差距。二是政务公开工作质量有待提高。部分信息虽然能够公开，但是表格复杂，不够通俗易懂，部分信息公开的栏目位置不够准确；在政策解读公开工作方面，存在政策解读角度单一、质量不高等问题，政策解读包含的内容不全面，对文件的内涵解读不够深入；形式不够丰富，缺乏动画、视频等多样的形式。</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color w:val="000000"/>
          <w:sz w:val="32"/>
          <w:szCs w:val="32"/>
          <w:lang w:val="en-US" w:eastAsia="zh-CN"/>
        </w:rPr>
      </w:pPr>
      <w:r>
        <w:rPr>
          <w:rFonts w:hint="eastAsia"/>
          <w:color w:val="000000"/>
          <w:sz w:val="32"/>
          <w:szCs w:val="32"/>
          <w:lang w:val="en-US" w:eastAsia="zh-CN"/>
        </w:rPr>
        <w:t>（二）下一步改进措施</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color w:val="000000"/>
          <w:sz w:val="32"/>
          <w:szCs w:val="32"/>
          <w:lang w:val="en-US" w:eastAsia="zh-CN"/>
        </w:rPr>
      </w:pPr>
      <w:r>
        <w:rPr>
          <w:rFonts w:hint="eastAsia"/>
          <w:color w:val="000000"/>
          <w:sz w:val="32"/>
          <w:szCs w:val="32"/>
          <w:lang w:val="en-US" w:eastAsia="zh-CN"/>
        </w:rPr>
        <w:t>一是加大政务公开人才队伍培养。加强政府信息公开业务学习和培训，通过开展培训会和业务交流会，提高业务人员的素质，打造工作作风实、业务能力强的信息公开人才队伍。二是严格政务公开审核工作。严格落实政务信息内容发布“三审”制度，对发布信息坚持先审后发。进一步建立健全政府信息公开工作机制，加强信息审核、发布、监督等工作，促进工作的规范化、常态化。</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color w:val="000000"/>
          <w:sz w:val="32"/>
          <w:szCs w:val="32"/>
        </w:rPr>
      </w:pPr>
      <w:r>
        <w:rPr>
          <w:rFonts w:hint="eastAsia"/>
          <w:color w:val="000000"/>
          <w:sz w:val="32"/>
          <w:szCs w:val="32"/>
          <w:lang w:val="en-US" w:eastAsia="zh-CN"/>
        </w:rPr>
        <w:t>三是提升信息公开质量。加大对政策解读公开的把关力度，完善公开要素，聚焦群众关注的热点。采取新闻发布会、漫画视频等多样方式进行解读。</w:t>
      </w:r>
    </w:p>
    <w:p>
      <w:pPr>
        <w:pStyle w:val="3"/>
        <w:keepNext w:val="0"/>
        <w:keepLines w:val="0"/>
        <w:pageBreakBefore w:val="0"/>
        <w:numPr>
          <w:ilvl w:val="0"/>
          <w:numId w:val="1"/>
        </w:numPr>
        <w:kinsoku/>
        <w:wordWrap/>
        <w:overflowPunct/>
        <w:topLinePunct w:val="0"/>
        <w:autoSpaceDE/>
        <w:autoSpaceDN/>
        <w:bidi w:val="0"/>
        <w:snapToGrid/>
        <w:spacing w:after="0" w:line="576" w:lineRule="exact"/>
        <w:ind w:left="0" w:leftChars="0" w:firstLine="640" w:firstLineChars="200"/>
        <w:textAlignment w:val="auto"/>
        <w:rPr>
          <w:rFonts w:hint="eastAsia" w:ascii="Times New Roman" w:eastAsia="黑体"/>
        </w:rPr>
      </w:pPr>
      <w:r>
        <w:rPr>
          <w:rFonts w:hint="eastAsia" w:ascii="Times New Roman" w:eastAsia="黑体"/>
        </w:rPr>
        <w:t>其他需要报告的事项</w:t>
      </w:r>
    </w:p>
    <w:p>
      <w:pPr>
        <w:pStyle w:val="3"/>
        <w:keepNext w:val="0"/>
        <w:keepLines w:val="0"/>
        <w:pageBreakBefore w:val="0"/>
        <w:numPr>
          <w:ilvl w:val="0"/>
          <w:numId w:val="0"/>
        </w:numPr>
        <w:kinsoku/>
        <w:wordWrap/>
        <w:overflowPunct/>
        <w:topLinePunct w:val="0"/>
        <w:autoSpaceDE/>
        <w:autoSpaceDN/>
        <w:bidi w:val="0"/>
        <w:snapToGrid/>
        <w:spacing w:after="0" w:line="576" w:lineRule="exact"/>
        <w:ind w:firstLine="640" w:firstLineChars="200"/>
        <w:textAlignment w:val="auto"/>
        <w:rPr>
          <w:rFonts w:hint="eastAsia"/>
          <w:color w:val="000000"/>
          <w:sz w:val="32"/>
          <w:szCs w:val="32"/>
        </w:rPr>
      </w:pPr>
      <w:r>
        <w:rPr>
          <w:rFonts w:hint="eastAsia"/>
          <w:color w:val="000000"/>
          <w:sz w:val="32"/>
          <w:szCs w:val="32"/>
        </w:rPr>
        <w:t>“按照《国务院办公厅关于印发〈政府信息公开信息处理费管理办</w:t>
      </w:r>
      <w:r>
        <w:rPr>
          <w:rFonts w:hint="eastAsia" w:ascii="仿宋_GB2312" w:hAnsi="仿宋_GB2312" w:eastAsia="仿宋_GB2312" w:cs="仿宋_GB2312"/>
          <w:color w:val="000000"/>
          <w:sz w:val="32"/>
          <w:szCs w:val="32"/>
        </w:rPr>
        <w:t>法〉的通知》（国办函〔2020〕109号）规定的按件、按量收费标准，本年度没有产生信息公开</w:t>
      </w:r>
      <w:r>
        <w:rPr>
          <w:rFonts w:hint="eastAsia"/>
          <w:color w:val="000000"/>
          <w:sz w:val="32"/>
          <w:szCs w:val="32"/>
        </w:rPr>
        <w:t>处理费”。</w:t>
      </w:r>
    </w:p>
    <w:p>
      <w:pPr>
        <w:keepNext w:val="0"/>
        <w:keepLines w:val="0"/>
        <w:pageBreakBefore w:val="0"/>
        <w:kinsoku/>
        <w:wordWrap/>
        <w:overflowPunct/>
        <w:topLinePunct w:val="0"/>
        <w:autoSpaceDE/>
        <w:autoSpaceDN/>
        <w:bidi w:val="0"/>
        <w:snapToGrid/>
        <w:spacing w:line="576" w:lineRule="exact"/>
        <w:textAlignment w:val="auto"/>
      </w:pPr>
    </w:p>
    <w:sectPr>
      <w:pgSz w:w="11906" w:h="16838"/>
      <w:pgMar w:top="2098" w:right="1531" w:bottom="1984" w:left="1531" w:header="850"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76EDB"/>
    <w:multiLevelType w:val="singleLevel"/>
    <w:tmpl w:val="1CB76ED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MDA4YjkwY2RiNmZiMzZhNGEzM2YxMDZiNmU1OTMifQ=="/>
  </w:docVars>
  <w:rsids>
    <w:rsidRoot w:val="31924B49"/>
    <w:rsid w:val="04FF0F95"/>
    <w:rsid w:val="07542207"/>
    <w:rsid w:val="079254DA"/>
    <w:rsid w:val="0A604AEA"/>
    <w:rsid w:val="0B416AA1"/>
    <w:rsid w:val="0CB827DA"/>
    <w:rsid w:val="0D733834"/>
    <w:rsid w:val="12FF4792"/>
    <w:rsid w:val="13511881"/>
    <w:rsid w:val="13FE26F5"/>
    <w:rsid w:val="1404674E"/>
    <w:rsid w:val="1AF44EA5"/>
    <w:rsid w:val="24C07578"/>
    <w:rsid w:val="2A910C61"/>
    <w:rsid w:val="2AA809EC"/>
    <w:rsid w:val="2D7B40F7"/>
    <w:rsid w:val="31924B49"/>
    <w:rsid w:val="36CB77F0"/>
    <w:rsid w:val="390E5FF1"/>
    <w:rsid w:val="3A2528F9"/>
    <w:rsid w:val="3AAC0477"/>
    <w:rsid w:val="3D7E7D35"/>
    <w:rsid w:val="3FBD2E8A"/>
    <w:rsid w:val="414234D9"/>
    <w:rsid w:val="45512882"/>
    <w:rsid w:val="46AD0127"/>
    <w:rsid w:val="495D57DF"/>
    <w:rsid w:val="4DE02CD9"/>
    <w:rsid w:val="50197594"/>
    <w:rsid w:val="50207BF1"/>
    <w:rsid w:val="514A24C3"/>
    <w:rsid w:val="51E8779D"/>
    <w:rsid w:val="52A40BC7"/>
    <w:rsid w:val="531325D2"/>
    <w:rsid w:val="531C7C67"/>
    <w:rsid w:val="53590060"/>
    <w:rsid w:val="554E73ED"/>
    <w:rsid w:val="574C778C"/>
    <w:rsid w:val="57F54350"/>
    <w:rsid w:val="581A18AD"/>
    <w:rsid w:val="59BA70EA"/>
    <w:rsid w:val="5CCD3DBB"/>
    <w:rsid w:val="61BF394A"/>
    <w:rsid w:val="63E12671"/>
    <w:rsid w:val="647F5C8E"/>
    <w:rsid w:val="65B3320B"/>
    <w:rsid w:val="6FCA1E38"/>
    <w:rsid w:val="70070B43"/>
    <w:rsid w:val="72422E6A"/>
    <w:rsid w:val="77226064"/>
    <w:rsid w:val="78E2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仿宋_GB2312"/>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2461</Words>
  <Characters>2610</Characters>
  <Lines>0</Lines>
  <Paragraphs>0</Paragraphs>
  <TotalTime>153</TotalTime>
  <ScaleCrop>false</ScaleCrop>
  <LinksUpToDate>false</LinksUpToDate>
  <CharactersWithSpaces>2610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2023-01-09T07:03:00Z</dcterms:created>
  <dc:creator>Cytheria</dc:creator>
  <cp:lastModifiedBy>Cytheria</cp:lastModifiedBy>
  <dcterms:modified xsi:type="dcterms:W3CDTF">2023-01-12T07:55:29Z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1118AB9D56484B14AAEC6BFE6527C4E0</vt:lpwstr>
  </property>
</Properties>
</file>