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ascii="方正小标宋简体" w:hAnsi="方正小标宋简体" w:eastAsia="方正小标宋简体" w:cs="方正小标宋简体"/>
          <w:sz w:val="44"/>
          <w:szCs w:val="44"/>
        </w:rPr>
        <w:t>六安市叶集区市场监督管理局</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方正小标宋简体" w:hAnsi="方正小标宋简体" w:eastAsia="方正小标宋简体" w:cs="方正小标宋简体"/>
          <w:sz w:val="44"/>
          <w:szCs w:val="44"/>
        </w:rPr>
        <w:t>2023年政府信息公开工作年度报告</w:t>
      </w:r>
    </w:p>
    <w:p>
      <w:pPr>
        <w:pStyle w:val="2"/>
        <w:keepNext w:val="0"/>
        <w:keepLines w:val="0"/>
        <w:pageBreakBefore w:val="0"/>
        <w:widowControl/>
        <w:suppressLineNumbers w:val="0"/>
        <w:kinsoku/>
        <w:wordWrap/>
        <w:overflowPunct/>
        <w:topLinePunct w:val="0"/>
        <w:autoSpaceDN/>
        <w:bidi w:val="0"/>
        <w:adjustRightInd w:val="0"/>
        <w:snapToGrid w:val="0"/>
        <w:spacing w:before="100" w:beforeAutospacing="0" w:after="100" w:afterAutospacing="0" w:line="576" w:lineRule="exact"/>
        <w:ind w:left="0" w:right="0" w:firstLine="640"/>
        <w:jc w:val="left"/>
        <w:textAlignment w:val="auto"/>
        <w:rPr>
          <w:sz w:val="21"/>
          <w:szCs w:val="21"/>
        </w:rPr>
      </w:pPr>
      <w:r>
        <w:rPr>
          <w:rFonts w:ascii="仿宋_GB2312" w:eastAsia="仿宋_GB2312" w:cs="仿宋_GB2312"/>
          <w:sz w:val="32"/>
          <w:szCs w:val="32"/>
        </w:rPr>
        <w:t>依据《六安市叶集区政务公开工作领导组办公室关于做好</w:t>
      </w:r>
      <w:r>
        <w:rPr>
          <w:rFonts w:hint="default" w:ascii="Times New Roman" w:hAnsi="Times New Roman" w:eastAsia="仿宋_GB2312" w:cs="Times New Roman"/>
          <w:sz w:val="32"/>
          <w:szCs w:val="32"/>
        </w:rPr>
        <w:t>2023</w:t>
      </w:r>
      <w:r>
        <w:rPr>
          <w:rFonts w:hint="eastAsia" w:ascii="仿宋_GB2312" w:eastAsia="仿宋_GB2312" w:cs="仿宋_GB2312"/>
          <w:sz w:val="32"/>
          <w:szCs w:val="32"/>
        </w:rPr>
        <w:t>年度政府信息公开年度报告编制和发布工作的通知》（叶政公办〔</w:t>
      </w:r>
      <w:r>
        <w:rPr>
          <w:rFonts w:hint="default" w:ascii="Times New Roman" w:hAnsi="Times New Roman" w:eastAsia="仿宋_GB2312" w:cs="Times New Roman"/>
          <w:sz w:val="32"/>
          <w:szCs w:val="32"/>
        </w:rPr>
        <w:t>2024</w:t>
      </w:r>
      <w:r>
        <w:rPr>
          <w:rFonts w:hint="eastAsia" w:ascii="仿宋_GB2312" w:eastAsia="仿宋_GB2312" w:cs="仿宋_GB2312"/>
          <w:sz w:val="32"/>
          <w:szCs w:val="32"/>
        </w:rPr>
        <w:t>〕</w:t>
      </w:r>
      <w:r>
        <w:rPr>
          <w:rFonts w:hint="default" w:ascii="Times New Roman" w:hAnsi="Times New Roman" w:eastAsia="仿宋_GB2312" w:cs="Times New Roman"/>
          <w:sz w:val="32"/>
          <w:szCs w:val="32"/>
        </w:rPr>
        <w:t>1</w:t>
      </w:r>
      <w:r>
        <w:rPr>
          <w:rFonts w:hint="eastAsia" w:ascii="仿宋_GB2312" w:eastAsia="仿宋_GB2312" w:cs="仿宋_GB2312"/>
          <w:sz w:val="32"/>
          <w:szCs w:val="32"/>
        </w:rPr>
        <w:t>号），现编制</w:t>
      </w:r>
      <w:r>
        <w:rPr>
          <w:rFonts w:hint="default" w:ascii="Times New Roman" w:hAnsi="Times New Roman" w:eastAsia="仿宋_GB2312" w:cs="Times New Roman"/>
          <w:sz w:val="32"/>
          <w:szCs w:val="32"/>
        </w:rPr>
        <w:t>2023</w:t>
      </w:r>
      <w:r>
        <w:rPr>
          <w:rFonts w:hint="eastAsia" w:ascii="仿宋_GB2312" w:eastAsia="仿宋_GB2312" w:cs="仿宋_GB2312"/>
          <w:sz w:val="32"/>
          <w:szCs w:val="32"/>
        </w:rPr>
        <w:t>年政府信息公开年度报告。全文主要包括总体情况、主动公开政府信息情况、收到和处理政府信息公开申请情况、政府信息公开行政复议、行政诉讼情况、存在的主要问题及改进情况和其他需要报告的事项等。本年度报告使用的数据统计期限为</w:t>
      </w:r>
      <w:r>
        <w:rPr>
          <w:rFonts w:hint="default" w:ascii="Times New Roman" w:hAnsi="Times New Roman" w:eastAsia="仿宋_GB2312" w:cs="Times New Roman"/>
          <w:sz w:val="32"/>
          <w:szCs w:val="32"/>
        </w:rPr>
        <w:t>2023</w:t>
      </w:r>
      <w:r>
        <w:rPr>
          <w:rFonts w:hint="eastAsia" w:ascii="仿宋_GB2312" w:eastAsia="仿宋_GB2312" w:cs="仿宋_GB2312"/>
          <w:sz w:val="32"/>
          <w:szCs w:val="32"/>
        </w:rPr>
        <w:t>年</w:t>
      </w:r>
      <w:r>
        <w:rPr>
          <w:rFonts w:hint="default" w:ascii="Times New Roman" w:hAnsi="Times New Roman" w:eastAsia="仿宋_GB2312" w:cs="Times New Roman"/>
          <w:sz w:val="32"/>
          <w:szCs w:val="32"/>
        </w:rPr>
        <w:t>1</w:t>
      </w:r>
      <w:r>
        <w:rPr>
          <w:rFonts w:hint="eastAsia" w:asci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eastAsia="仿宋_GB2312" w:cs="仿宋_GB2312"/>
          <w:sz w:val="32"/>
          <w:szCs w:val="32"/>
        </w:rPr>
        <w:t>日至</w:t>
      </w:r>
      <w:r>
        <w:rPr>
          <w:rFonts w:hint="default" w:ascii="Times New Roman" w:hAnsi="Times New Roman" w:eastAsia="仿宋_GB2312" w:cs="Times New Roman"/>
          <w:sz w:val="32"/>
          <w:szCs w:val="32"/>
        </w:rPr>
        <w:t>2023</w:t>
      </w:r>
      <w:r>
        <w:rPr>
          <w:rFonts w:hint="eastAsia" w:ascii="仿宋_GB2312" w:eastAsia="仿宋_GB2312" w:cs="仿宋_GB2312"/>
          <w:sz w:val="32"/>
          <w:szCs w:val="32"/>
        </w:rPr>
        <w:t>年</w:t>
      </w:r>
      <w:r>
        <w:rPr>
          <w:rFonts w:hint="default" w:ascii="Times New Roman" w:hAnsi="Times New Roman" w:eastAsia="仿宋_GB2312" w:cs="Times New Roman"/>
          <w:sz w:val="32"/>
          <w:szCs w:val="32"/>
        </w:rPr>
        <w:t>12</w:t>
      </w:r>
      <w:r>
        <w:rPr>
          <w:rFonts w:hint="eastAsia" w:ascii="仿宋_GB2312" w:eastAsia="仿宋_GB2312" w:cs="仿宋_GB2312"/>
          <w:sz w:val="32"/>
          <w:szCs w:val="32"/>
        </w:rPr>
        <w:t>月</w:t>
      </w:r>
      <w:r>
        <w:rPr>
          <w:rFonts w:hint="default" w:ascii="Times New Roman" w:hAnsi="Times New Roman" w:eastAsia="仿宋_GB2312" w:cs="Times New Roman"/>
          <w:sz w:val="32"/>
          <w:szCs w:val="32"/>
        </w:rPr>
        <w:t>31</w:t>
      </w:r>
      <w:r>
        <w:rPr>
          <w:rFonts w:hint="eastAsia" w:ascii="仿宋_GB2312" w:eastAsia="仿宋_GB2312" w:cs="仿宋_GB2312"/>
          <w:sz w:val="32"/>
          <w:szCs w:val="32"/>
        </w:rPr>
        <w:t>日。本年度工作报告可在六安市叶集区市场监督管理局信息公开平台下载（</w:t>
      </w:r>
      <w:r>
        <w:rPr>
          <w:rFonts w:hint="default" w:ascii="Times New Roman" w:hAnsi="Times New Roman" w:eastAsia="仿宋_GB2312" w:cs="Times New Roman"/>
          <w:sz w:val="32"/>
          <w:szCs w:val="32"/>
        </w:rPr>
        <w:t>https://www.ahyeji.gov.cn/public/column/6599461?type=4&amp;action=list&amp;nav=3&amp;catId=7067611</w:t>
      </w:r>
      <w:r>
        <w:rPr>
          <w:rFonts w:hint="eastAsia" w:ascii="仿宋_GB2312" w:eastAsia="仿宋_GB2312" w:cs="仿宋_GB2312"/>
          <w:sz w:val="32"/>
          <w:szCs w:val="32"/>
        </w:rPr>
        <w:t>）。如对本报告有任何</w:t>
      </w:r>
      <w:bookmarkStart w:id="0" w:name="_GoBack"/>
      <w:bookmarkEnd w:id="0"/>
      <w:r>
        <w:rPr>
          <w:rFonts w:hint="eastAsia" w:ascii="仿宋_GB2312" w:eastAsia="仿宋_GB2312" w:cs="仿宋_GB2312"/>
          <w:sz w:val="32"/>
          <w:szCs w:val="32"/>
        </w:rPr>
        <w:t>疑问，请与六安市</w:t>
      </w:r>
      <w:r>
        <w:rPr>
          <w:rFonts w:hint="eastAsia" w:ascii="仿宋_GB2312" w:hAnsi="Times New Roman" w:eastAsia="仿宋_GB2312" w:cs="仿宋_GB2312"/>
          <w:sz w:val="32"/>
          <w:szCs w:val="32"/>
        </w:rPr>
        <w:t>叶集区市场监督管理局联系</w:t>
      </w:r>
      <w:r>
        <w:rPr>
          <w:rFonts w:hint="eastAsia" w:ascii="仿宋_GB2312" w:eastAsia="仿宋_GB2312" w:cs="仿宋_GB2312"/>
          <w:sz w:val="32"/>
          <w:szCs w:val="32"/>
        </w:rPr>
        <w:t>。（地址：六安市叶集区行政服务中心</w:t>
      </w:r>
      <w:r>
        <w:rPr>
          <w:rFonts w:hint="eastAsia" w:ascii="仿宋_GB2312" w:hAnsi="Times New Roman" w:eastAsia="仿宋_GB2312" w:cs="仿宋_GB2312"/>
          <w:sz w:val="32"/>
          <w:szCs w:val="32"/>
        </w:rPr>
        <w:t>6</w:t>
      </w:r>
      <w:r>
        <w:rPr>
          <w:rFonts w:hint="eastAsia" w:ascii="仿宋_GB2312" w:eastAsia="仿宋_GB2312" w:cs="仿宋_GB2312"/>
          <w:sz w:val="32"/>
          <w:szCs w:val="32"/>
        </w:rPr>
        <w:t>楼，联系电话：</w:t>
      </w:r>
      <w:r>
        <w:rPr>
          <w:rFonts w:hint="eastAsia" w:ascii="仿宋_GB2312" w:hAnsi="Times New Roman" w:eastAsia="仿宋_GB2312" w:cs="仿宋_GB2312"/>
          <w:sz w:val="32"/>
          <w:szCs w:val="32"/>
        </w:rPr>
        <w:t>0564-6488637</w:t>
      </w:r>
      <w:r>
        <w:rPr>
          <w:rFonts w:hint="eastAsia" w:ascii="仿宋_GB2312" w:eastAsia="仿宋_GB2312" w:cs="仿宋_GB2312"/>
          <w:sz w:val="32"/>
          <w:szCs w:val="32"/>
        </w:rPr>
        <w:t xml:space="preserve"> ，</w:t>
      </w:r>
      <w:r>
        <w:rPr>
          <w:rFonts w:hint="eastAsia" w:ascii="仿宋_GB2312" w:eastAsia="仿宋_GB2312" w:cs="仿宋_GB2312"/>
          <w:i w:val="0"/>
          <w:iCs w:val="0"/>
          <w:caps w:val="0"/>
          <w:color w:val="333333"/>
          <w:spacing w:val="0"/>
          <w:sz w:val="32"/>
          <w:szCs w:val="32"/>
          <w:bdr w:val="none" w:color="auto" w:sz="0" w:space="0"/>
          <w:shd w:val="clear" w:fill="FFFFFF"/>
        </w:rPr>
        <w:t>邮编：237431</w:t>
      </w:r>
      <w:r>
        <w:rPr>
          <w:rFonts w:hint="eastAsia" w:ascii="仿宋_GB2312" w:eastAsia="仿宋_GB2312" w:cs="仿宋_GB2312"/>
          <w:sz w:val="32"/>
          <w:szCs w:val="32"/>
        </w:rPr>
        <w:t xml:space="preserve"> ）</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ascii="黑体" w:hAnsi="宋体" w:eastAsia="黑体" w:cs="黑体"/>
          <w:sz w:val="32"/>
          <w:szCs w:val="32"/>
        </w:rPr>
        <w:t>一、</w:t>
      </w:r>
      <w:r>
        <w:rPr>
          <w:rFonts w:hint="eastAsia" w:ascii="黑体" w:hAnsi="宋体" w:eastAsia="黑体" w:cs="黑体"/>
          <w:sz w:val="32"/>
          <w:szCs w:val="32"/>
        </w:rPr>
        <w:t>总体情况</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320"/>
        <w:jc w:val="both"/>
        <w:textAlignment w:val="auto"/>
        <w:rPr>
          <w:rFonts w:hint="default" w:ascii="Times New Roman" w:hAnsi="Times New Roman" w:cs="Times New Roman"/>
          <w:sz w:val="21"/>
          <w:szCs w:val="21"/>
        </w:rPr>
      </w:pPr>
      <w:r>
        <w:rPr>
          <w:rFonts w:ascii="楷体" w:hAnsi="楷体" w:eastAsia="楷体" w:cs="楷体"/>
          <w:sz w:val="32"/>
          <w:szCs w:val="32"/>
        </w:rPr>
        <w:t>（</w:t>
      </w:r>
      <w:r>
        <w:rPr>
          <w:rFonts w:hint="eastAsia" w:ascii="楷体" w:hAnsi="楷体" w:eastAsia="楷体" w:cs="楷体"/>
          <w:sz w:val="32"/>
          <w:szCs w:val="32"/>
        </w:rPr>
        <w:t>一）主动公开情况</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_GB2312" w:hAnsi="Times New Roman" w:eastAsia="仿宋_GB2312" w:cs="仿宋_GB2312"/>
          <w:sz w:val="32"/>
          <w:szCs w:val="32"/>
        </w:rPr>
        <w:t>2023年，我局立足工作实际，以政务公开重点工作提升行动为抓手，夯实政务公开工作基础，不断提升信息发布质量。注重行政权力运行结果时效性，在行政处罚信息产生之日起7个工作日内向社会公布，按月公布行政许可、行政强制等结果，发布信息386条。侧重政策文件解读，采取文字、图片等方式解读文件3个，召开新闻发布会1场。着重回应群众关心的食品、药品问题，按月发布食品、药品、化妆品监管、处罚信息，在节假日、重要时点前发布安全消费警示和风险提示17条，指导乡镇两化栏目建设，完成整改内容4条。加强重点领域信息发布，紧抓知识产权保护工作，推动高质量发展，累计发布384条。本年度内未发布行政规范性文件。</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320"/>
        <w:jc w:val="both"/>
        <w:textAlignment w:val="auto"/>
        <w:rPr>
          <w:rFonts w:hint="default" w:ascii="Times New Roman" w:hAnsi="Times New Roman" w:cs="Times New Roman"/>
          <w:sz w:val="21"/>
          <w:szCs w:val="21"/>
        </w:rPr>
      </w:pPr>
      <w:r>
        <w:rPr>
          <w:rFonts w:hint="eastAsia" w:ascii="楷体" w:hAnsi="楷体" w:eastAsia="楷体" w:cs="楷体"/>
          <w:sz w:val="32"/>
          <w:szCs w:val="32"/>
        </w:rPr>
        <w:t>（二）依申请公开</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_GB2312" w:hAnsi="Times New Roman" w:eastAsia="仿宋_GB2312" w:cs="仿宋_GB2312"/>
          <w:sz w:val="32"/>
          <w:szCs w:val="32"/>
        </w:rPr>
        <w:t>严格落实依申请公开制度，按照依申请公开办事流程，执行受理、审核、办理、答复等程序，准确判断申请人申请公开的内容是否属于可公开的政府信息，把关答复内容，强化工作规范，本年度我局共计收到线上依申请公开1件，办理完成1件，办结率100％。</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320"/>
        <w:jc w:val="both"/>
        <w:textAlignment w:val="auto"/>
        <w:rPr>
          <w:rFonts w:hint="default" w:ascii="Times New Roman" w:hAnsi="Times New Roman" w:cs="Times New Roman"/>
          <w:sz w:val="21"/>
          <w:szCs w:val="21"/>
        </w:rPr>
      </w:pPr>
      <w:r>
        <w:rPr>
          <w:rFonts w:hint="eastAsia" w:ascii="楷体" w:hAnsi="楷体" w:eastAsia="楷体" w:cs="楷体"/>
          <w:sz w:val="32"/>
          <w:szCs w:val="32"/>
        </w:rPr>
        <w:t>（三）政府信息管理</w:t>
      </w:r>
      <w:r>
        <w:rPr>
          <w:rFonts w:hint="eastAsia" w:ascii="仿宋_GB2312" w:hAnsi="Times New Roman" w:eastAsia="仿宋_GB2312" w:cs="仿宋_GB2312"/>
          <w:sz w:val="32"/>
          <w:szCs w:val="32"/>
        </w:rPr>
        <w:t>       </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_GB2312" w:hAnsi="Times New Roman" w:eastAsia="仿宋_GB2312" w:cs="仿宋_GB2312"/>
          <w:sz w:val="32"/>
          <w:szCs w:val="32"/>
        </w:rPr>
        <w:t>一是紧抓内容审核，严格落实“三审”制度，由信息收集者、编辑员、分管领导层层把关，确保内容真实准确；二是注重经办人员业务能力培训，积极组织经办人员参加市、区两级培训会议，定期开展工作考核，听取工作汇报；按季度开展规范性文件备案、清理工作；开展行政规范性文件格式调整工作，累计调整文件6个。</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320"/>
        <w:jc w:val="both"/>
        <w:textAlignment w:val="auto"/>
        <w:rPr>
          <w:rFonts w:hint="default" w:ascii="Times New Roman" w:hAnsi="Times New Roman" w:cs="Times New Roman"/>
          <w:sz w:val="21"/>
          <w:szCs w:val="21"/>
        </w:rPr>
      </w:pPr>
      <w:r>
        <w:rPr>
          <w:rFonts w:hint="eastAsia" w:ascii="楷体" w:hAnsi="楷体" w:eastAsia="楷体" w:cs="楷体"/>
          <w:sz w:val="32"/>
          <w:szCs w:val="32"/>
        </w:rPr>
        <w:t>（四）政府信息公开平台建设情况</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_GB2312" w:hAnsi="Times New Roman" w:eastAsia="仿宋_GB2312" w:cs="仿宋_GB2312"/>
          <w:sz w:val="32"/>
          <w:szCs w:val="32"/>
        </w:rPr>
        <w:t>加强部门特色栏目建设，持续优化基层“食药”两化栏目建设，加大对食药领域信息的发布，尤其是与群众生活息息相关的食品、药品信息，今年累计发布抽检信息50条，其中食用农产品抽检信息14批次、普通食品抽检信息31批次，不合格食品抽检信息4条，药械监督检查、化妆品监督检查信息22条。</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320"/>
        <w:jc w:val="both"/>
        <w:textAlignment w:val="auto"/>
        <w:rPr>
          <w:rFonts w:hint="default" w:ascii="Times New Roman" w:hAnsi="Times New Roman" w:cs="Times New Roman"/>
          <w:sz w:val="21"/>
          <w:szCs w:val="21"/>
        </w:rPr>
      </w:pPr>
      <w:r>
        <w:rPr>
          <w:rFonts w:hint="eastAsia" w:ascii="楷体" w:hAnsi="楷体" w:eastAsia="楷体" w:cs="楷体"/>
          <w:sz w:val="32"/>
          <w:szCs w:val="32"/>
        </w:rPr>
        <w:t>（五）监督保障</w:t>
      </w:r>
    </w:p>
    <w:p>
      <w:pPr>
        <w:pStyle w:val="2"/>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_GB2312" w:hAnsi="Times New Roman" w:eastAsia="仿宋_GB2312" w:cs="仿宋_GB2312"/>
          <w:sz w:val="32"/>
          <w:szCs w:val="32"/>
        </w:rPr>
        <w:t>制定本部门《关于开展政务公开重点工作提升行动的通知》，明确工作任务、整改时限、责任股室、注意事项等，细化分工，压实责任，切实解决政务公开日常工作中存在的问题。依托区政务公开季度整改清单，及时对表对标进行梳理完善，并形成整改报告进行公开，本年度完成问题整改44条。全年开展隐私排查情况6次，整改问题2条。</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黑体" w:hAnsi="宋体" w:eastAsia="黑体" w:cs="黑体"/>
          <w:sz w:val="32"/>
          <w:szCs w:val="32"/>
        </w:rPr>
        <w:t>二、主动公开政府信息情况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105"/>
        <w:gridCol w:w="2105"/>
        <w:gridCol w:w="2105"/>
        <w:gridCol w:w="210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25" w:hRule="atLeast"/>
          <w:jc w:val="center"/>
        </w:trPr>
        <w:tc>
          <w:tcPr>
            <w:tcW w:w="8420" w:type="dxa"/>
            <w:gridSpan w:val="4"/>
            <w:tcBorders>
              <w:top w:val="single" w:color="auto" w:sz="12" w:space="0"/>
              <w:left w:val="single" w:color="auto" w:sz="12"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ascii="华文中宋" w:hAnsi="华文中宋" w:eastAsia="华文中宋" w:cs="华文中宋"/>
                <w:color w:val="000000"/>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2105" w:type="dxa"/>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w:t>
            </w:r>
            <w:r>
              <w:rPr>
                <w:rFonts w:hint="eastAsia" w:ascii="华文中宋" w:hAnsi="华文中宋" w:eastAsia="华文中宋" w:cs="华文中宋"/>
                <w:sz w:val="21"/>
                <w:szCs w:val="21"/>
              </w:rPr>
              <w:t>制发件数</w:t>
            </w:r>
          </w:p>
        </w:tc>
        <w:tc>
          <w:tcPr>
            <w:tcW w:w="2105" w:type="dxa"/>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本年废止件数</w:t>
            </w:r>
          </w:p>
        </w:tc>
        <w:tc>
          <w:tcPr>
            <w:tcW w:w="2105" w:type="dxa"/>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现行有效件</w:t>
            </w:r>
            <w:r>
              <w:rPr>
                <w:rFonts w:hint="eastAsia" w:ascii="华文中宋" w:hAnsi="华文中宋" w:eastAsia="华文中宋" w:cs="华文中宋"/>
                <w:sz w:val="21"/>
                <w:szCs w:val="21"/>
              </w:rPr>
              <w:t>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84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规章</w:t>
            </w:r>
          </w:p>
        </w:tc>
        <w:tc>
          <w:tcPr>
            <w:tcW w:w="2105" w:type="dxa"/>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2105" w:type="dxa"/>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2105" w:type="dxa"/>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21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行政规范性文件</w:t>
            </w:r>
          </w:p>
        </w:tc>
        <w:tc>
          <w:tcPr>
            <w:tcW w:w="2105" w:type="dxa"/>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2105" w:type="dxa"/>
            <w:tcBorders>
              <w:top w:val="single" w:color="auto" w:sz="6" w:space="0"/>
              <w:left w:val="single" w:color="auto" w:sz="6"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c>
          <w:tcPr>
            <w:tcW w:w="2105" w:type="dxa"/>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8420" w:type="dxa"/>
            <w:gridSpan w:val="4"/>
            <w:tcBorders>
              <w:top w:val="single" w:color="auto" w:sz="6" w:space="0"/>
              <w:left w:val="single" w:color="auto" w:sz="12"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 </w:t>
            </w:r>
            <w:r>
              <w:rPr>
                <w:rFonts w:hint="eastAsia" w:ascii="华文中宋" w:hAnsi="华文中宋" w:eastAsia="华文中宋" w:cs="华文中宋"/>
                <w:color w:val="000000"/>
                <w:sz w:val="21"/>
                <w:szCs w:val="21"/>
              </w:rPr>
              <w:t>信息内容</w:t>
            </w:r>
          </w:p>
        </w:tc>
        <w:tc>
          <w:tcPr>
            <w:tcW w:w="6315" w:type="dxa"/>
            <w:gridSpan w:val="3"/>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3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行政许可</w:t>
            </w:r>
          </w:p>
        </w:tc>
        <w:tc>
          <w:tcPr>
            <w:tcW w:w="6315" w:type="dxa"/>
            <w:gridSpan w:val="3"/>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1133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8420" w:type="dxa"/>
            <w:gridSpan w:val="4"/>
            <w:tcBorders>
              <w:top w:val="single" w:color="auto" w:sz="6" w:space="0"/>
              <w:left w:val="single" w:color="auto" w:sz="12"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315" w:type="dxa"/>
            <w:gridSpan w:val="3"/>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3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行政处罚</w:t>
            </w:r>
          </w:p>
        </w:tc>
        <w:tc>
          <w:tcPr>
            <w:tcW w:w="6315" w:type="dxa"/>
            <w:gridSpan w:val="3"/>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211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3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行政强制</w:t>
            </w:r>
          </w:p>
        </w:tc>
        <w:tc>
          <w:tcPr>
            <w:tcW w:w="6315" w:type="dxa"/>
            <w:gridSpan w:val="3"/>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r>
              <w:rPr>
                <w:rFonts w:hint="eastAsia" w:ascii="华文中宋" w:hAnsi="华文中宋" w:eastAsia="华文中宋" w:cs="华文中宋"/>
                <w:color w:val="000000"/>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8420" w:type="dxa"/>
            <w:gridSpan w:val="4"/>
            <w:tcBorders>
              <w:top w:val="single" w:color="auto" w:sz="6" w:space="0"/>
              <w:left w:val="single" w:color="auto" w:sz="12"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6"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315" w:type="dxa"/>
            <w:gridSpan w:val="3"/>
            <w:tcBorders>
              <w:top w:val="single" w:color="auto" w:sz="6" w:space="0"/>
              <w:left w:val="single" w:color="auto" w:sz="6" w:space="0"/>
              <w:bottom w:val="single" w:color="auto" w:sz="6"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95" w:hRule="atLeast"/>
          <w:jc w:val="center"/>
        </w:trPr>
        <w:tc>
          <w:tcPr>
            <w:tcW w:w="2105" w:type="dxa"/>
            <w:tcBorders>
              <w:top w:val="single" w:color="auto" w:sz="6" w:space="0"/>
              <w:left w:val="single" w:color="auto" w:sz="12" w:space="0"/>
              <w:bottom w:val="single" w:color="auto" w:sz="12" w:space="0"/>
              <w:right w:val="single" w:color="auto" w:sz="6"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21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行政事业性收费</w:t>
            </w:r>
          </w:p>
        </w:tc>
        <w:tc>
          <w:tcPr>
            <w:tcW w:w="6315" w:type="dxa"/>
            <w:gridSpan w:val="3"/>
            <w:tcBorders>
              <w:top w:val="single" w:color="auto" w:sz="6" w:space="0"/>
              <w:left w:val="single" w:color="auto" w:sz="6" w:space="0"/>
              <w:bottom w:val="single" w:color="auto" w:sz="12" w:space="0"/>
              <w:right w:val="single" w:color="auto" w:sz="12" w:space="0"/>
            </w:tcBorders>
            <w:shd w:val="clear" w:color="auto" w:fill="FFFFFF"/>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color w:val="000000"/>
                <w:sz w:val="21"/>
                <w:szCs w:val="21"/>
              </w:rPr>
              <w:t>0</w:t>
            </w:r>
          </w:p>
        </w:tc>
      </w:tr>
    </w:tbl>
    <w:p>
      <w:pPr>
        <w:pStyle w:val="2"/>
        <w:keepNext w:val="0"/>
        <w:keepLines w:val="0"/>
        <w:pageBreakBefore w:val="0"/>
        <w:widowControl/>
        <w:suppressLineNumbers w:val="0"/>
        <w:kinsoku/>
        <w:wordWrap/>
        <w:overflowPunct/>
        <w:topLinePunct w:val="0"/>
        <w:autoSpaceDN/>
        <w:bidi w:val="0"/>
        <w:adjustRightInd w:val="0"/>
        <w:snapToGrid w:val="0"/>
        <w:spacing w:before="101" w:beforeAutospacing="0" w:after="0" w:afterAutospacing="0" w:line="576" w:lineRule="exact"/>
        <w:ind w:left="420" w:right="0"/>
        <w:jc w:val="both"/>
        <w:textAlignment w:val="auto"/>
        <w:rPr>
          <w:rFonts w:hint="default" w:ascii="Times New Roman" w:hAnsi="Times New Roman" w:cs="Times New Roman"/>
          <w:sz w:val="21"/>
          <w:szCs w:val="21"/>
        </w:rPr>
      </w:pPr>
      <w:r>
        <w:rPr>
          <w:rFonts w:hint="eastAsia" w:ascii="黑体" w:hAnsi="宋体" w:eastAsia="黑体" w:cs="黑体"/>
          <w:spacing w:val="8"/>
          <w:sz w:val="31"/>
          <w:szCs w:val="31"/>
        </w:rPr>
        <w:t>三、收到和处理政府信息公开申请情况</w:t>
      </w:r>
    </w:p>
    <w:tbl>
      <w:tblPr>
        <w:tblW w:w="895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04"/>
        <w:gridCol w:w="862"/>
        <w:gridCol w:w="2908"/>
        <w:gridCol w:w="632"/>
        <w:gridCol w:w="642"/>
        <w:gridCol w:w="642"/>
        <w:gridCol w:w="642"/>
        <w:gridCol w:w="642"/>
        <w:gridCol w:w="642"/>
        <w:gridCol w:w="64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474" w:type="dxa"/>
            <w:gridSpan w:val="3"/>
            <w:vMerge w:val="restart"/>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（本列数据的勾稽关系为：第一项加第二项之和，等于第三项加第四项之和）</w:t>
            </w:r>
          </w:p>
        </w:tc>
        <w:tc>
          <w:tcPr>
            <w:tcW w:w="4484" w:type="dxa"/>
            <w:gridSpan w:val="7"/>
            <w:tcBorders>
              <w:top w:val="single" w:color="auto" w:sz="12" w:space="0"/>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632" w:type="dxa"/>
            <w:vMerge w:val="restart"/>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自然人</w:t>
            </w:r>
          </w:p>
        </w:tc>
        <w:tc>
          <w:tcPr>
            <w:tcW w:w="3210"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法人或其他组织</w:t>
            </w:r>
          </w:p>
        </w:tc>
        <w:tc>
          <w:tcPr>
            <w:tcW w:w="642" w:type="dxa"/>
            <w:vMerge w:val="restart"/>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632" w:type="dxa"/>
            <w:vMerge w:val="continue"/>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商业</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企业</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科研</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社会公益组织</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法律服务机构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tc>
        <w:tc>
          <w:tcPr>
            <w:tcW w:w="642" w:type="dxa"/>
            <w:vMerge w:val="continue"/>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一、本年新收政府信息公开申请数量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二、上年结转政府信息公开申请数量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restart"/>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三、本年度办理结果</w:t>
            </w: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（一）予以公开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（二）部分公开（区分处理的，只计这一情形，不计其他情形）</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（三）不予公开</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属于国家秘密</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其他法律行政法规禁止公开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危及“三安全一稳定”</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保护第三方合法权益</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属于三类内部事务信息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6.</w:t>
            </w:r>
            <w:r>
              <w:rPr>
                <w:rFonts w:hint="eastAsia" w:ascii="华文中宋" w:hAnsi="华文中宋" w:eastAsia="华文中宋" w:cs="华文中宋"/>
                <w:color w:val="000000"/>
                <w:sz w:val="21"/>
                <w:szCs w:val="21"/>
              </w:rPr>
              <w:t>属于四类过程性信息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7.</w:t>
            </w:r>
            <w:r>
              <w:rPr>
                <w:rFonts w:hint="eastAsia" w:ascii="华文中宋" w:hAnsi="华文中宋" w:eastAsia="华文中宋" w:cs="华文中宋"/>
                <w:color w:val="000000"/>
                <w:sz w:val="21"/>
                <w:szCs w:val="21"/>
              </w:rPr>
              <w:t>属于行政执法案卷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8.</w:t>
            </w:r>
            <w:r>
              <w:rPr>
                <w:rFonts w:hint="eastAsia" w:ascii="华文中宋" w:hAnsi="华文中宋" w:eastAsia="华文中宋" w:cs="华文中宋"/>
                <w:color w:val="000000"/>
                <w:sz w:val="21"/>
                <w:szCs w:val="21"/>
              </w:rPr>
              <w:t>属于行政查询事项</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（四）无法提供</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本机关不掌握相关政府信息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没有现成信息需要另行制作</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补正后申请内容仍不明确</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（五）不予处理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信访举报投诉类申请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要求提供公开出版物</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无正当理由大量反复申请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要求行政机关确认或重新出具已获取信息</w:t>
            </w:r>
          </w:p>
        </w:tc>
        <w:tc>
          <w:tcPr>
            <w:tcW w:w="63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（六）其他处理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申请人无正当理由逾期不补正、行政机关不再处理其政府信息公开申请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申请人逾期未按收费通知要求缴纳费用、行政机关不再处理其政府信息公开申请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其他</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（七）总计</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left"/>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四、结转下年度继续办理</w:t>
            </w:r>
          </w:p>
        </w:tc>
        <w:tc>
          <w:tcPr>
            <w:tcW w:w="63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12" w:space="0"/>
            </w:tcBorders>
            <w:shd w:val="clear"/>
            <w:tcMar>
              <w:top w:w="0" w:type="dxa"/>
              <w:left w:w="57" w:type="dxa"/>
              <w:bottom w:w="0" w:type="dxa"/>
              <w:right w:w="57"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  </w:t>
      </w:r>
      <w:r>
        <w:rPr>
          <w:rFonts w:hint="eastAsia" w:ascii="黑体" w:hAnsi="宋体" w:eastAsia="黑体" w:cs="黑体"/>
          <w:sz w:val="32"/>
          <w:szCs w:val="32"/>
        </w:rPr>
        <w:t>四、政府信息公开行政复议、行政诉讼情况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7"/>
        <w:gridCol w:w="567"/>
        <w:gridCol w:w="567"/>
        <w:gridCol w:w="567"/>
        <w:gridCol w:w="569"/>
        <w:gridCol w:w="568"/>
        <w:gridCol w:w="568"/>
        <w:gridCol w:w="568"/>
        <w:gridCol w:w="568"/>
        <w:gridCol w:w="573"/>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80" w:hRule="atLeast"/>
          <w:jc w:val="center"/>
        </w:trPr>
        <w:tc>
          <w:tcPr>
            <w:tcW w:w="2837" w:type="dxa"/>
            <w:gridSpan w:val="5"/>
            <w:tcBorders>
              <w:top w:val="single" w:color="auto" w:sz="12" w:space="0"/>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行政复议</w:t>
            </w:r>
          </w:p>
        </w:tc>
        <w:tc>
          <w:tcPr>
            <w:tcW w:w="5685" w:type="dxa"/>
            <w:gridSpan w:val="10"/>
            <w:tcBorders>
              <w:top w:val="single" w:color="auto" w:sz="12" w:space="0"/>
              <w:left w:val="single" w:color="auto" w:sz="6" w:space="0"/>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567" w:type="dxa"/>
            <w:vMerge w:val="restart"/>
            <w:tcBorders>
              <w:top w:val="single" w:color="auto" w:sz="6" w:space="0"/>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结果维持</w:t>
            </w:r>
          </w:p>
        </w:tc>
        <w:tc>
          <w:tcPr>
            <w:tcW w:w="567" w:type="dxa"/>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纠正</w:t>
            </w:r>
          </w:p>
        </w:tc>
        <w:tc>
          <w:tcPr>
            <w:tcW w:w="567" w:type="dxa"/>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其他</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结果</w:t>
            </w:r>
          </w:p>
        </w:tc>
        <w:tc>
          <w:tcPr>
            <w:tcW w:w="567" w:type="dxa"/>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尚未</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审结</w:t>
            </w:r>
          </w:p>
        </w:tc>
        <w:tc>
          <w:tcPr>
            <w:tcW w:w="569" w:type="dxa"/>
            <w:vMerge w:val="restart"/>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总计</w:t>
            </w:r>
          </w:p>
        </w:tc>
        <w:tc>
          <w:tcPr>
            <w:tcW w:w="2845"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未经复议直接起诉</w:t>
            </w:r>
          </w:p>
        </w:tc>
        <w:tc>
          <w:tcPr>
            <w:tcW w:w="2840" w:type="dxa"/>
            <w:gridSpan w:val="5"/>
            <w:tcBorders>
              <w:top w:val="single" w:color="auto" w:sz="6" w:space="0"/>
              <w:left w:val="single" w:color="auto" w:sz="6" w:space="0"/>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03" w:hRule="atLeast"/>
          <w:jc w:val="center"/>
        </w:trPr>
        <w:tc>
          <w:tcPr>
            <w:tcW w:w="567" w:type="dxa"/>
            <w:vMerge w:val="continue"/>
            <w:tcBorders>
              <w:top w:val="single" w:color="auto" w:sz="6" w:space="0"/>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567"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567"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567"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569" w:type="dxa"/>
            <w:vMerge w:val="continue"/>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keepNext w:val="0"/>
              <w:keepLines w:val="0"/>
              <w:pageBreakBefore w:val="0"/>
              <w:kinsoku/>
              <w:wordWrap/>
              <w:overflowPunct/>
              <w:topLinePunct w:val="0"/>
              <w:autoSpaceDN/>
              <w:bidi w:val="0"/>
              <w:adjustRightInd w:val="0"/>
              <w:snapToGrid w:val="0"/>
              <w:spacing w:line="576" w:lineRule="exact"/>
              <w:textAlignment w:val="auto"/>
              <w:rPr>
                <w:rFonts w:hint="default" w:ascii="Times New Roman" w:hAnsi="Times New Roman" w:cs="Times New Roman"/>
                <w:sz w:val="20"/>
                <w:szCs w:val="20"/>
              </w:rPr>
            </w:pP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维持</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纠正</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其他</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结果</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尚未</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审结</w:t>
            </w:r>
          </w:p>
        </w:tc>
        <w:tc>
          <w:tcPr>
            <w:tcW w:w="573"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维持</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结果</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纠正</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568"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sz w:val="21"/>
                <w:szCs w:val="21"/>
              </w:rPr>
              <w:t>尚未</w:t>
            </w:r>
            <w:r>
              <w:rPr>
                <w:rFonts w:hint="eastAsia" w:ascii="华文中宋" w:hAnsi="华文中宋" w:eastAsia="华文中宋" w:cs="华文中宋"/>
                <w:sz w:val="21"/>
                <w:szCs w:val="21"/>
              </w:rPr>
              <w:br w:type="textWrapping"/>
            </w:r>
            <w:r>
              <w:rPr>
                <w:rFonts w:hint="eastAsia" w:ascii="华文中宋" w:hAnsi="华文中宋" w:eastAsia="华文中宋" w:cs="华文中宋"/>
                <w:sz w:val="21"/>
                <w:szCs w:val="21"/>
              </w:rPr>
              <w:t>审结</w:t>
            </w:r>
          </w:p>
        </w:tc>
        <w:tc>
          <w:tcPr>
            <w:tcW w:w="568" w:type="dxa"/>
            <w:tcBorders>
              <w:top w:val="single" w:color="auto" w:sz="6" w:space="0"/>
              <w:left w:val="single" w:color="auto" w:sz="6" w:space="0"/>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80" w:hRule="atLeast"/>
          <w:jc w:val="center"/>
        </w:trPr>
        <w:tc>
          <w:tcPr>
            <w:tcW w:w="567" w:type="dxa"/>
            <w:tcBorders>
              <w:top w:val="single" w:color="auto" w:sz="6" w:space="0"/>
              <w:left w:val="single" w:color="auto" w:sz="12"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7"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7"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7"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9"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73"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default" w:ascii="Times New Roman" w:hAnsi="Times New Roman" w:eastAsia="华文中宋" w:cs="Times New Roman"/>
                <w:sz w:val="21"/>
                <w:szCs w:val="21"/>
              </w:rPr>
              <w:t>0</w:t>
            </w:r>
          </w:p>
        </w:tc>
        <w:tc>
          <w:tcPr>
            <w:tcW w:w="568" w:type="dxa"/>
            <w:tcBorders>
              <w:top w:val="single" w:color="auto" w:sz="6" w:space="0"/>
              <w:left w:val="single" w:color="auto" w:sz="6" w:space="0"/>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center"/>
              <w:textAlignment w:val="auto"/>
              <w:rPr>
                <w:rFonts w:hint="default" w:ascii="Times New Roman" w:hAnsi="Times New Roman" w:cs="Times New Roman"/>
                <w:sz w:val="21"/>
                <w:szCs w:val="21"/>
              </w:rPr>
            </w:pPr>
            <w:r>
              <w:rPr>
                <w:rFonts w:hint="eastAsia" w:ascii="宋体" w:hAnsi="宋体" w:eastAsia="宋体" w:cs="宋体"/>
                <w:sz w:val="21"/>
                <w:szCs w:val="21"/>
              </w:rPr>
              <w:t>0</w:t>
            </w:r>
          </w:p>
        </w:tc>
      </w:tr>
    </w:tbl>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黑体" w:hAnsi="宋体" w:eastAsia="黑体" w:cs="黑体"/>
          <w:sz w:val="32"/>
          <w:szCs w:val="32"/>
        </w:rPr>
        <w:t>五、存在的主要问题及改进情况</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本年度存在的主要问题：一是发布的文件格式不严谨，字体、间距等没有按照行政规范性文件格式要求排版；二是政策文件解读数量较少，非文字类解读如图片解读制作不够精致，没有突出重点。</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40"/>
        <w:jc w:val="both"/>
        <w:textAlignment w:val="auto"/>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上年度存在问题整改情况：针对上一年度“部分栏目内容更新不及时，公开平台日常维护力度不足”问题，我局安排政务公开工作人员月度排查统计，及时对接相关业务股室，更新最新工作动态；针对“内容形式创新力度不足，多以文字、表格为主”问题，我局今年采取了图文结合、发布会解读等方式，不断丰富内容发布形式，加大创新力度。</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下一步改进措施：一是严格按照要求逐一整改已公开发布的文件，统一排版，规范格式；二是优化非文字类政策解读样式，制作更加专业的图文，便于群众了解政策，运用政策。</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firstLine="640"/>
        <w:jc w:val="left"/>
        <w:textAlignment w:val="auto"/>
        <w:rPr>
          <w:rFonts w:hint="default" w:ascii="Times New Roman" w:hAnsi="Times New Roman" w:cs="Times New Roman"/>
          <w:sz w:val="21"/>
          <w:szCs w:val="21"/>
        </w:rPr>
      </w:pPr>
      <w:r>
        <w:rPr>
          <w:rFonts w:hint="eastAsia" w:ascii="黑体" w:hAnsi="宋体" w:eastAsia="黑体" w:cs="黑体"/>
          <w:sz w:val="32"/>
          <w:szCs w:val="32"/>
        </w:rPr>
        <w:t>六、其他需要报告的事项</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eastAsia" w:ascii="仿宋_GB2312" w:hAnsi="Times New Roman" w:eastAsia="仿宋_GB2312" w:cs="仿宋_GB2312"/>
          <w:color w:val="000000"/>
          <w:sz w:val="32"/>
          <w:szCs w:val="32"/>
        </w:rPr>
        <w:t>   按照《国务院办公厅关于印发</w:t>
      </w:r>
      <w:r>
        <w:rPr>
          <w:rFonts w:hint="default" w:ascii="Times New Roman" w:hAnsi="Times New Roman" w:eastAsia="仿宋_GB2312" w:cs="Times New Roman"/>
          <w:color w:val="000000"/>
          <w:sz w:val="32"/>
          <w:szCs w:val="32"/>
        </w:rPr>
        <w:t>&lt;</w:t>
      </w:r>
      <w:r>
        <w:rPr>
          <w:rFonts w:hint="eastAsia" w:ascii="仿宋_GB2312" w:hAnsi="Times New Roman" w:eastAsia="仿宋_GB2312" w:cs="仿宋_GB2312"/>
          <w:color w:val="000000"/>
          <w:sz w:val="32"/>
          <w:szCs w:val="32"/>
        </w:rPr>
        <w:t>政府信息公开信息处理费管理办法</w:t>
      </w:r>
      <w:r>
        <w:rPr>
          <w:rFonts w:hint="default" w:ascii="Times New Roman" w:hAnsi="Times New Roman" w:eastAsia="仿宋_GB2312" w:cs="Times New Roman"/>
          <w:color w:val="000000"/>
          <w:sz w:val="32"/>
          <w:szCs w:val="32"/>
        </w:rPr>
        <w:t>&gt;</w:t>
      </w:r>
      <w:r>
        <w:rPr>
          <w:rFonts w:hint="eastAsia" w:ascii="仿宋_GB2312" w:hAnsi="Times New Roman" w:eastAsia="仿宋_GB2312" w:cs="仿宋_GB2312"/>
          <w:color w:val="000000"/>
          <w:sz w:val="32"/>
          <w:szCs w:val="32"/>
        </w:rPr>
        <w:t>的通知》（国办函〔</w:t>
      </w:r>
      <w:r>
        <w:rPr>
          <w:rFonts w:hint="default" w:ascii="Times New Roman" w:hAnsi="Times New Roman" w:eastAsia="仿宋_GB2312" w:cs="Times New Roman"/>
          <w:color w:val="000000"/>
          <w:sz w:val="32"/>
          <w:szCs w:val="32"/>
        </w:rPr>
        <w:t>2020</w:t>
      </w:r>
      <w:r>
        <w:rPr>
          <w:rFonts w:hint="eastAsia" w:ascii="仿宋_GB2312" w:hAnsi="Times New Roman" w:eastAsia="仿宋_GB2312" w:cs="仿宋_GB2312"/>
          <w:color w:val="000000"/>
          <w:sz w:val="32"/>
          <w:szCs w:val="32"/>
        </w:rPr>
        <w:t>〕</w:t>
      </w:r>
      <w:r>
        <w:rPr>
          <w:rFonts w:hint="default" w:ascii="Times New Roman" w:hAnsi="Times New Roman" w:eastAsia="仿宋_GB2312" w:cs="Times New Roman"/>
          <w:color w:val="000000"/>
          <w:sz w:val="32"/>
          <w:szCs w:val="32"/>
        </w:rPr>
        <w:t>109</w:t>
      </w:r>
      <w:r>
        <w:rPr>
          <w:rFonts w:hint="eastAsia" w:ascii="仿宋_GB2312" w:hAnsi="Times New Roman" w:eastAsia="仿宋_GB2312" w:cs="仿宋_GB2312"/>
          <w:color w:val="000000"/>
          <w:sz w:val="32"/>
          <w:szCs w:val="32"/>
        </w:rPr>
        <w:t>号）规定的按件、按量收费标准，本年度没有产生信息公开处理费。</w:t>
      </w:r>
    </w:p>
    <w:p>
      <w:pPr>
        <w:pStyle w:val="2"/>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576" w:lineRule="exact"/>
        <w:ind w:left="0" w:right="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 </w:t>
      </w:r>
    </w:p>
    <w:p>
      <w:pPr>
        <w:keepNext w:val="0"/>
        <w:keepLines w:val="0"/>
        <w:pageBreakBefore w:val="0"/>
        <w:kinsoku/>
        <w:wordWrap/>
        <w:overflowPunct/>
        <w:topLinePunct w:val="0"/>
        <w:autoSpaceDN/>
        <w:bidi w:val="0"/>
        <w:adjustRightInd w:val="0"/>
        <w:snapToGrid w:val="0"/>
        <w:spacing w:line="576"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ODViODRmMTBiNTcxMjgxMmQyMmU5NWM5NzJkOTcifQ=="/>
  </w:docVars>
  <w:rsids>
    <w:rsidRoot w:val="00000000"/>
    <w:rsid w:val="00936194"/>
    <w:rsid w:val="029779DF"/>
    <w:rsid w:val="041C3FA6"/>
    <w:rsid w:val="06D11EF1"/>
    <w:rsid w:val="07292CF6"/>
    <w:rsid w:val="07875F3B"/>
    <w:rsid w:val="0CC21C90"/>
    <w:rsid w:val="0D79544E"/>
    <w:rsid w:val="0F486ACE"/>
    <w:rsid w:val="10FF09AC"/>
    <w:rsid w:val="111579F6"/>
    <w:rsid w:val="114864F2"/>
    <w:rsid w:val="120027B6"/>
    <w:rsid w:val="145150D0"/>
    <w:rsid w:val="14EA50B5"/>
    <w:rsid w:val="155E177F"/>
    <w:rsid w:val="16705F49"/>
    <w:rsid w:val="18BA61CA"/>
    <w:rsid w:val="1BB27CA2"/>
    <w:rsid w:val="1EC513B4"/>
    <w:rsid w:val="1EE43FB7"/>
    <w:rsid w:val="1F3B3394"/>
    <w:rsid w:val="1F564F4C"/>
    <w:rsid w:val="1FB13356"/>
    <w:rsid w:val="20585D01"/>
    <w:rsid w:val="208461F9"/>
    <w:rsid w:val="22916662"/>
    <w:rsid w:val="22E276E9"/>
    <w:rsid w:val="29170D56"/>
    <w:rsid w:val="297F4A27"/>
    <w:rsid w:val="2B6B2304"/>
    <w:rsid w:val="2D1A3A49"/>
    <w:rsid w:val="2D360A6D"/>
    <w:rsid w:val="2E4E10CC"/>
    <w:rsid w:val="2ED53BC8"/>
    <w:rsid w:val="2ED63866"/>
    <w:rsid w:val="35020EF3"/>
    <w:rsid w:val="363339C9"/>
    <w:rsid w:val="375C403D"/>
    <w:rsid w:val="37BD5F27"/>
    <w:rsid w:val="38FD5D3F"/>
    <w:rsid w:val="39E7513F"/>
    <w:rsid w:val="3A5A7999"/>
    <w:rsid w:val="3C9D08BE"/>
    <w:rsid w:val="3D743CC2"/>
    <w:rsid w:val="3E8741A1"/>
    <w:rsid w:val="3E9D64D3"/>
    <w:rsid w:val="3EE01A2F"/>
    <w:rsid w:val="44872442"/>
    <w:rsid w:val="46BD7101"/>
    <w:rsid w:val="46F015AC"/>
    <w:rsid w:val="481334AE"/>
    <w:rsid w:val="494C4076"/>
    <w:rsid w:val="4AC80887"/>
    <w:rsid w:val="4BB80965"/>
    <w:rsid w:val="505D1556"/>
    <w:rsid w:val="5078447D"/>
    <w:rsid w:val="50B608C7"/>
    <w:rsid w:val="52BC47A8"/>
    <w:rsid w:val="533C28BF"/>
    <w:rsid w:val="5375791D"/>
    <w:rsid w:val="53A7479A"/>
    <w:rsid w:val="53F96F66"/>
    <w:rsid w:val="5499320F"/>
    <w:rsid w:val="551D576C"/>
    <w:rsid w:val="56985D82"/>
    <w:rsid w:val="57122706"/>
    <w:rsid w:val="59130B6D"/>
    <w:rsid w:val="5DBC5896"/>
    <w:rsid w:val="5E805982"/>
    <w:rsid w:val="5F621E2A"/>
    <w:rsid w:val="639D3B3D"/>
    <w:rsid w:val="647E7082"/>
    <w:rsid w:val="65D41B7A"/>
    <w:rsid w:val="66F75983"/>
    <w:rsid w:val="67901237"/>
    <w:rsid w:val="695009D8"/>
    <w:rsid w:val="69AA3652"/>
    <w:rsid w:val="6AAE6D2F"/>
    <w:rsid w:val="6AE64246"/>
    <w:rsid w:val="6C312E12"/>
    <w:rsid w:val="6D0525B4"/>
    <w:rsid w:val="6EA15D8B"/>
    <w:rsid w:val="710803F3"/>
    <w:rsid w:val="74C637FB"/>
    <w:rsid w:val="75C55695"/>
    <w:rsid w:val="784756DC"/>
    <w:rsid w:val="78950E55"/>
    <w:rsid w:val="79A23C1B"/>
    <w:rsid w:val="7CC36ACD"/>
    <w:rsid w:val="7CD65085"/>
    <w:rsid w:val="7F406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WPS_1622431491</cp:lastModifiedBy>
  <dcterms:modified xsi:type="dcterms:W3CDTF">2024-02-21T00:31:29Z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C40E6C5B7F6546AA98BAAC37671224A1</vt:lpwstr>
  </property>
</Properties>
</file>