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576" w:lineRule="atLeast"/>
        <w:ind w:left="0" w:right="0"/>
        <w:jc w:val="center"/>
        <w:rPr>
          <w:rFonts w:hint="default" w:ascii="Times New Roman" w:hAnsi="Times New Roman" w:cs="Times New Roman"/>
          <w:sz w:val="21"/>
          <w:szCs w:val="21"/>
        </w:rPr>
      </w:pPr>
      <w:bookmarkStart w:id="0" w:name="_GoBack"/>
      <w:r>
        <w:rPr>
          <w:rFonts w:ascii="方正小标宋简体" w:hAnsi="方正小标宋简体" w:eastAsia="方正小标宋简体" w:cs="方正小标宋简体"/>
          <w:color w:val="000000"/>
          <w:sz w:val="44"/>
          <w:szCs w:val="44"/>
        </w:rPr>
        <w:t>叶集区科技经济信息化局</w:t>
      </w:r>
      <w:r>
        <w:rPr>
          <w:rFonts w:hint="default" w:ascii="Times New Roman" w:hAnsi="Times New Roman" w:eastAsia="方正小标宋简体" w:cs="Times New Roman"/>
          <w:color w:val="000000"/>
          <w:sz w:val="44"/>
          <w:szCs w:val="44"/>
        </w:rPr>
        <w:t>2022</w:t>
      </w:r>
      <w:r>
        <w:rPr>
          <w:rFonts w:hint="eastAsia" w:ascii="方正小标宋简体" w:hAnsi="方正小标宋简体" w:eastAsia="方正小标宋简体" w:cs="方正小标宋简体"/>
          <w:color w:val="000000"/>
          <w:sz w:val="44"/>
          <w:szCs w:val="44"/>
        </w:rPr>
        <w:t>年政府信息公开工作年度报告</w:t>
      </w:r>
    </w:p>
    <w:bookmarkEnd w:id="0"/>
    <w:p>
      <w:pPr>
        <w:pStyle w:val="2"/>
        <w:keepNext w:val="0"/>
        <w:keepLines w:val="0"/>
        <w:widowControl/>
        <w:suppressLineNumbers w:val="0"/>
        <w:spacing w:before="0" w:beforeAutospacing="0" w:after="0" w:afterAutospacing="0" w:line="576" w:lineRule="atLeast"/>
        <w:ind w:left="0" w:right="0" w:firstLine="640"/>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line="576" w:lineRule="atLeast"/>
        <w:ind w:left="0" w:right="0" w:firstLine="640"/>
        <w:jc w:val="left"/>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autoSpaceDE w:val="0"/>
        <w:autoSpaceDN/>
        <w:spacing w:before="0" w:beforeAutospacing="0" w:after="0" w:afterAutospacing="0" w:line="576" w:lineRule="atLeast"/>
        <w:ind w:left="0" w:right="0" w:firstLine="640"/>
        <w:jc w:val="left"/>
        <w:rPr>
          <w:rFonts w:hint="default" w:ascii="Times New Roman" w:hAnsi="Times New Roman" w:cs="Times New Roman"/>
          <w:sz w:val="21"/>
          <w:szCs w:val="21"/>
        </w:rPr>
      </w:pPr>
      <w:r>
        <w:rPr>
          <w:rFonts w:ascii="仿宋" w:hAnsi="仿宋" w:eastAsia="仿宋" w:cs="仿宋"/>
          <w:sz w:val="32"/>
          <w:szCs w:val="32"/>
        </w:rPr>
        <w:t>本报告依据《中华人民共和国政府信息公开条例》（国务院令第</w:t>
      </w:r>
      <w:r>
        <w:rPr>
          <w:rFonts w:hint="default" w:ascii="Times New Roman" w:hAnsi="Times New Roman" w:cs="Times New Roman"/>
          <w:sz w:val="32"/>
          <w:szCs w:val="32"/>
        </w:rPr>
        <w:t>711</w:t>
      </w:r>
      <w:r>
        <w:rPr>
          <w:rFonts w:hint="eastAsia" w:ascii="仿宋" w:hAnsi="仿宋" w:eastAsia="仿宋" w:cs="仿宋"/>
          <w:sz w:val="32"/>
          <w:szCs w:val="32"/>
        </w:rPr>
        <w:t>号）和政府信息公开有关文件要求，结合我局政府信息公开工作有关数据撰写。报告主要包括：总体情况、主动公开政府信息情况、收到和处理政府信息公开申请情况、政府信息公开行政复议、行政诉讼情况、政府信息公开工作存在主要问题及改进情况和其他需要报告事项。本报告中使用数据统计期限为</w:t>
      </w:r>
      <w:r>
        <w:rPr>
          <w:rFonts w:hint="default" w:ascii="Times New Roman" w:hAnsi="Times New Roman" w:cs="Times New Roman"/>
          <w:sz w:val="32"/>
          <w:szCs w:val="32"/>
        </w:rPr>
        <w:t>202</w:t>
      </w:r>
      <w:r>
        <w:rPr>
          <w:rFonts w:hint="default" w:ascii="Times New Roman" w:hAnsi="Times New Roman" w:eastAsia="仿宋" w:cs="Times New Roman"/>
          <w:sz w:val="32"/>
          <w:szCs w:val="32"/>
        </w:rPr>
        <w:t>2</w:t>
      </w:r>
      <w:r>
        <w:rPr>
          <w:rFonts w:hint="eastAsia" w:ascii="仿宋" w:hAnsi="仿宋" w:eastAsia="仿宋" w:cs="仿宋"/>
          <w:sz w:val="32"/>
          <w:szCs w:val="32"/>
        </w:rPr>
        <w:t>年</w:t>
      </w:r>
      <w:r>
        <w:rPr>
          <w:rFonts w:hint="default" w:ascii="Times New Roman" w:hAnsi="Times New Roman" w:cs="Times New Roman"/>
          <w:sz w:val="32"/>
          <w:szCs w:val="32"/>
        </w:rPr>
        <w:t>1</w:t>
      </w:r>
      <w:r>
        <w:rPr>
          <w:rFonts w:hint="eastAsia" w:ascii="仿宋" w:hAnsi="仿宋" w:eastAsia="仿宋" w:cs="仿宋"/>
          <w:sz w:val="32"/>
          <w:szCs w:val="32"/>
        </w:rPr>
        <w:t>月</w:t>
      </w:r>
      <w:r>
        <w:rPr>
          <w:rFonts w:hint="default" w:ascii="Times New Roman" w:hAnsi="Times New Roman" w:cs="Times New Roman"/>
          <w:sz w:val="32"/>
          <w:szCs w:val="32"/>
        </w:rPr>
        <w:t>1</w:t>
      </w:r>
      <w:r>
        <w:rPr>
          <w:rFonts w:hint="eastAsia" w:ascii="仿宋" w:hAnsi="仿宋" w:eastAsia="仿宋" w:cs="仿宋"/>
          <w:sz w:val="32"/>
          <w:szCs w:val="32"/>
        </w:rPr>
        <w:t>日至</w:t>
      </w:r>
      <w:r>
        <w:rPr>
          <w:rFonts w:hint="default" w:ascii="Times New Roman" w:hAnsi="Times New Roman" w:cs="Times New Roman"/>
          <w:sz w:val="32"/>
          <w:szCs w:val="32"/>
        </w:rPr>
        <w:t>12</w:t>
      </w:r>
      <w:r>
        <w:rPr>
          <w:rFonts w:hint="eastAsia" w:ascii="仿宋" w:hAnsi="仿宋" w:eastAsia="仿宋" w:cs="仿宋"/>
          <w:sz w:val="32"/>
          <w:szCs w:val="32"/>
        </w:rPr>
        <w:t>月</w:t>
      </w:r>
      <w:r>
        <w:rPr>
          <w:rFonts w:hint="default" w:ascii="Times New Roman" w:hAnsi="Times New Roman" w:cs="Times New Roman"/>
          <w:sz w:val="32"/>
          <w:szCs w:val="32"/>
        </w:rPr>
        <w:t>31</w:t>
      </w:r>
      <w:r>
        <w:rPr>
          <w:rFonts w:hint="eastAsia" w:ascii="仿宋" w:hAnsi="仿宋" w:eastAsia="仿宋" w:cs="仿宋"/>
          <w:sz w:val="32"/>
          <w:szCs w:val="32"/>
        </w:rPr>
        <w:t>日，报告的电子版可在六安市叶集区科技经济信息化局政府信息公开平台下载，网址为：</w:t>
      </w:r>
      <w:r>
        <w:rPr>
          <w:rFonts w:hint="default" w:ascii="Times New Roman" w:hAnsi="Times New Roman" w:eastAsia="仿宋" w:cs="Times New Roman"/>
          <w:sz w:val="32"/>
          <w:szCs w:val="32"/>
        </w:rPr>
        <w:t>https://www.ahyeji.gov.cn/public/column/6599201?type=4&amp;action=list&amp;nav=3&amp;catId=7067611</w:t>
      </w:r>
      <w:r>
        <w:rPr>
          <w:rFonts w:hint="eastAsia" w:ascii="仿宋" w:hAnsi="仿宋" w:eastAsia="仿宋" w:cs="仿宋"/>
          <w:sz w:val="32"/>
          <w:szCs w:val="32"/>
        </w:rPr>
        <w:t>。如对本报告有任何疑问，请与区科技经信局办公室联系（地址：六安市叶集区政务南区</w:t>
      </w:r>
      <w:r>
        <w:rPr>
          <w:rFonts w:hint="default" w:ascii="Times New Roman" w:hAnsi="Times New Roman" w:eastAsia="仿宋" w:cs="Times New Roman"/>
          <w:sz w:val="32"/>
          <w:szCs w:val="32"/>
        </w:rPr>
        <w:t>106</w:t>
      </w:r>
      <w:r>
        <w:rPr>
          <w:rFonts w:hint="eastAsia" w:ascii="仿宋" w:hAnsi="仿宋" w:eastAsia="仿宋" w:cs="仿宋"/>
          <w:sz w:val="32"/>
          <w:szCs w:val="32"/>
        </w:rPr>
        <w:t>办公室；邮编：</w:t>
      </w:r>
      <w:r>
        <w:rPr>
          <w:rFonts w:hint="default" w:ascii="Times New Roman" w:hAnsi="Times New Roman" w:cs="Times New Roman"/>
          <w:sz w:val="32"/>
          <w:szCs w:val="32"/>
        </w:rPr>
        <w:t>237431</w:t>
      </w:r>
      <w:r>
        <w:rPr>
          <w:rFonts w:hint="eastAsia" w:ascii="仿宋" w:hAnsi="仿宋" w:eastAsia="仿宋" w:cs="仿宋"/>
          <w:sz w:val="32"/>
          <w:szCs w:val="32"/>
        </w:rPr>
        <w:t>；电话：</w:t>
      </w:r>
      <w:r>
        <w:rPr>
          <w:rFonts w:hint="default" w:ascii="Times New Roman" w:hAnsi="Times New Roman" w:cs="Times New Roman"/>
          <w:sz w:val="32"/>
          <w:szCs w:val="32"/>
        </w:rPr>
        <w:t>0564-6498659</w:t>
      </w:r>
      <w:r>
        <w:rPr>
          <w:rFonts w:hint="eastAsia" w:ascii="仿宋" w:hAnsi="仿宋" w:eastAsia="仿宋" w:cs="仿宋"/>
          <w:sz w:val="32"/>
          <w:szCs w:val="32"/>
        </w:rPr>
        <w:t>）。</w:t>
      </w:r>
    </w:p>
    <w:p>
      <w:pPr>
        <w:pStyle w:val="2"/>
        <w:keepNext w:val="0"/>
        <w:keepLines w:val="0"/>
        <w:widowControl/>
        <w:suppressLineNumbers w:val="0"/>
        <w:autoSpaceDE w:val="0"/>
        <w:autoSpaceDN/>
        <w:spacing w:after="0" w:afterAutospacing="0" w:line="576" w:lineRule="atLeast"/>
        <w:ind w:left="0" w:firstLine="640"/>
        <w:jc w:val="both"/>
        <w:rPr>
          <w:rFonts w:hint="eastAsia" w:ascii="仿宋" w:hAnsi="仿宋" w:eastAsia="仿宋" w:cs="仿宋"/>
          <w:sz w:val="32"/>
          <w:szCs w:val="32"/>
        </w:rPr>
      </w:pPr>
      <w:r>
        <w:rPr>
          <w:rFonts w:ascii="黑体" w:hAnsi="宋体" w:eastAsia="黑体" w:cs="黑体"/>
          <w:sz w:val="32"/>
          <w:szCs w:val="32"/>
        </w:rPr>
        <w:t>一、总体情况</w:t>
      </w:r>
    </w:p>
    <w:p>
      <w:pPr>
        <w:pStyle w:val="2"/>
        <w:keepNext w:val="0"/>
        <w:keepLines w:val="0"/>
        <w:widowControl/>
        <w:suppressLineNumbers w:val="0"/>
        <w:autoSpaceDE w:val="0"/>
        <w:autoSpaceDN/>
        <w:spacing w:before="0" w:beforeAutospacing="0" w:after="0" w:afterAutospacing="0" w:line="576" w:lineRule="atLeast"/>
        <w:ind w:left="0" w:right="0" w:firstLine="640"/>
        <w:jc w:val="left"/>
        <w:rPr>
          <w:rFonts w:hint="default" w:ascii="Times New Roman" w:hAnsi="Times New Roman" w:cs="Times New Roman"/>
          <w:sz w:val="21"/>
          <w:szCs w:val="21"/>
        </w:rPr>
      </w:pPr>
      <w:r>
        <w:rPr>
          <w:rFonts w:hint="eastAsia" w:ascii="仿宋" w:hAnsi="仿宋" w:eastAsia="仿宋" w:cs="仿宋"/>
          <w:sz w:val="32"/>
          <w:szCs w:val="32"/>
        </w:rPr>
        <w:t>（一）主动公开情况</w:t>
      </w:r>
    </w:p>
    <w:p>
      <w:pPr>
        <w:pStyle w:val="2"/>
        <w:keepNext w:val="0"/>
        <w:keepLines w:val="0"/>
        <w:widowControl/>
        <w:suppressLineNumbers w:val="0"/>
        <w:autoSpaceDE w:val="0"/>
        <w:autoSpaceDN/>
        <w:spacing w:before="0" w:beforeAutospacing="0" w:after="0" w:afterAutospacing="0" w:line="576" w:lineRule="atLeast"/>
        <w:ind w:left="0" w:right="0" w:firstLine="640"/>
        <w:jc w:val="left"/>
        <w:rPr>
          <w:rFonts w:hint="default" w:ascii="Times New Roman" w:hAnsi="Times New Roman" w:cs="Times New Roman"/>
          <w:sz w:val="21"/>
          <w:szCs w:val="21"/>
        </w:rPr>
      </w:pPr>
      <w:r>
        <w:rPr>
          <w:rFonts w:hint="default" w:ascii="Times New Roman" w:hAnsi="Times New Roman" w:cs="Times New Roman"/>
          <w:sz w:val="32"/>
          <w:szCs w:val="32"/>
        </w:rPr>
        <w:t>202</w:t>
      </w:r>
      <w:r>
        <w:rPr>
          <w:rFonts w:hint="default" w:ascii="Times New Roman" w:hAnsi="Times New Roman" w:eastAsia="仿宋" w:cs="Times New Roman"/>
          <w:sz w:val="32"/>
          <w:szCs w:val="32"/>
        </w:rPr>
        <w:t>2</w:t>
      </w:r>
      <w:r>
        <w:rPr>
          <w:rFonts w:hint="eastAsia" w:ascii="仿宋" w:hAnsi="仿宋" w:eastAsia="仿宋" w:cs="仿宋"/>
          <w:sz w:val="32"/>
          <w:szCs w:val="32"/>
        </w:rPr>
        <w:t>年，我局认真贯彻落实上级部门关于政务公开工作的部署要求，切实强化公开意识，健全政务公开制度，结合科技经信工作实际，加快推进信息公开并取得良好成效。一是做好重点领域信息公开。</w:t>
      </w:r>
      <w:r>
        <w:rPr>
          <w:rFonts w:hint="default" w:ascii="Times New Roman" w:hAnsi="Times New Roman" w:eastAsia="仿宋" w:cs="Times New Roman"/>
          <w:sz w:val="32"/>
          <w:szCs w:val="32"/>
        </w:rPr>
        <w:t>2022</w:t>
      </w:r>
      <w:r>
        <w:rPr>
          <w:rFonts w:hint="eastAsia" w:ascii="仿宋" w:hAnsi="仿宋" w:eastAsia="仿宋" w:cs="仿宋"/>
          <w:sz w:val="32"/>
          <w:szCs w:val="32"/>
        </w:rPr>
        <w:t>年，我局围绕工业、科技工作要点及时公开支持行业系统发展政策、项目申报、科技项目和管理等重点工作。共发布信息公开目录信息</w:t>
      </w:r>
      <w:r>
        <w:rPr>
          <w:rFonts w:hint="default" w:ascii="Times New Roman" w:hAnsi="Times New Roman" w:eastAsia="仿宋" w:cs="Times New Roman"/>
          <w:sz w:val="32"/>
          <w:szCs w:val="32"/>
        </w:rPr>
        <w:t>336</w:t>
      </w:r>
      <w:r>
        <w:rPr>
          <w:rFonts w:hint="eastAsia" w:ascii="仿宋" w:hAnsi="仿宋" w:eastAsia="仿宋" w:cs="仿宋"/>
          <w:sz w:val="32"/>
          <w:szCs w:val="32"/>
        </w:rPr>
        <w:t>条。二是抓好规范性文件管理。按照省级格式规范调整已公开的行政规范性文件的格式和下载版本，做好我局</w:t>
      </w:r>
      <w:r>
        <w:rPr>
          <w:rFonts w:hint="default" w:ascii="Times New Roman" w:hAnsi="Times New Roman" w:eastAsia="仿宋" w:cs="Times New Roman"/>
          <w:sz w:val="32"/>
          <w:szCs w:val="32"/>
        </w:rPr>
        <w:t>2</w:t>
      </w:r>
      <w:r>
        <w:rPr>
          <w:rFonts w:hint="eastAsia" w:ascii="仿宋" w:hAnsi="仿宋" w:eastAsia="仿宋" w:cs="仿宋"/>
          <w:sz w:val="32"/>
          <w:szCs w:val="32"/>
        </w:rPr>
        <w:t>件行政规范性文件的格式标准化工作，并完善政策咨询科室和联系电话等信息。三是切实增强回应关切效果。召开新闻发布会</w:t>
      </w:r>
      <w:r>
        <w:rPr>
          <w:rFonts w:hint="default" w:ascii="Times New Roman" w:hAnsi="Times New Roman" w:eastAsia="仿宋" w:cs="Times New Roman"/>
          <w:sz w:val="32"/>
          <w:szCs w:val="32"/>
        </w:rPr>
        <w:t>1</w:t>
      </w:r>
      <w:r>
        <w:rPr>
          <w:rFonts w:hint="eastAsia" w:ascii="仿宋" w:hAnsi="仿宋" w:eastAsia="仿宋" w:cs="仿宋"/>
          <w:sz w:val="32"/>
          <w:szCs w:val="32"/>
        </w:rPr>
        <w:t>场，主动回应公众关切</w:t>
      </w:r>
      <w:r>
        <w:rPr>
          <w:rFonts w:hint="default" w:ascii="Times New Roman" w:hAnsi="Times New Roman" w:eastAsia="仿宋" w:cs="Times New Roman"/>
          <w:sz w:val="32"/>
          <w:szCs w:val="32"/>
        </w:rPr>
        <w:t>41</w:t>
      </w:r>
      <w:r>
        <w:rPr>
          <w:rFonts w:hint="eastAsia" w:ascii="仿宋" w:hAnsi="仿宋" w:eastAsia="仿宋" w:cs="仿宋"/>
          <w:sz w:val="32"/>
          <w:szCs w:val="32"/>
        </w:rPr>
        <w:t>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76" w:lineRule="atLeast"/>
        <w:ind w:left="0" w:right="0" w:firstLine="640"/>
        <w:jc w:val="left"/>
        <w:rPr>
          <w:rFonts w:hint="default" w:ascii="Times New Roman" w:hAnsi="Times New Roman" w:cs="Times New Roman"/>
          <w:sz w:val="21"/>
          <w:szCs w:val="21"/>
        </w:rPr>
      </w:pPr>
      <w:r>
        <w:rPr>
          <w:rFonts w:hint="eastAsia" w:ascii="仿宋" w:hAnsi="仿宋" w:eastAsia="仿宋" w:cs="仿宋"/>
          <w:sz w:val="32"/>
          <w:szCs w:val="32"/>
          <w:bdr w:val="none" w:color="auto" w:sz="0" w:space="0"/>
          <w:shd w:val="clear" w:fill="FFFFFF"/>
        </w:rPr>
        <w:t>（二）依申请公开</w:t>
      </w:r>
    </w:p>
    <w:p>
      <w:pPr>
        <w:pStyle w:val="2"/>
        <w:keepNext w:val="0"/>
        <w:keepLines w:val="0"/>
        <w:widowControl/>
        <w:suppressLineNumbers w:val="0"/>
        <w:autoSpaceDE w:val="0"/>
        <w:autoSpaceDN/>
        <w:spacing w:before="0" w:beforeAutospacing="0" w:after="0" w:afterAutospacing="0" w:line="576" w:lineRule="atLeast"/>
        <w:ind w:left="0" w:right="0" w:firstLine="640"/>
        <w:jc w:val="left"/>
        <w:rPr>
          <w:rFonts w:hint="default" w:ascii="Times New Roman" w:hAnsi="Times New Roman" w:cs="Times New Roman"/>
          <w:sz w:val="21"/>
          <w:szCs w:val="21"/>
        </w:rPr>
      </w:pPr>
      <w:r>
        <w:rPr>
          <w:rFonts w:hint="eastAsia" w:ascii="仿宋" w:hAnsi="仿宋" w:eastAsia="仿宋" w:cs="仿宋"/>
          <w:sz w:val="32"/>
          <w:szCs w:val="32"/>
        </w:rPr>
        <w:t>我局严格按照政府信息依申请公开制度规范开展依申请公开答复工作，公开依申请公开目录、申请信息流程图，并按月公布非主动公开文件目录。根据要求对部门的依申请指南进行修正。</w:t>
      </w:r>
      <w:r>
        <w:rPr>
          <w:rFonts w:hint="default" w:ascii="Times New Roman" w:hAnsi="Times New Roman" w:eastAsia="仿宋" w:cs="Times New Roman"/>
          <w:sz w:val="32"/>
          <w:szCs w:val="32"/>
        </w:rPr>
        <w:t>2022</w:t>
      </w:r>
      <w:r>
        <w:rPr>
          <w:rFonts w:hint="eastAsia" w:ascii="仿宋" w:hAnsi="仿宋" w:eastAsia="仿宋" w:cs="仿宋"/>
          <w:sz w:val="32"/>
          <w:szCs w:val="32"/>
        </w:rPr>
        <w:t>年，未收到依申请公开信件。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76" w:lineRule="atLeast"/>
        <w:ind w:left="0" w:right="0" w:firstLine="640"/>
        <w:jc w:val="left"/>
        <w:rPr>
          <w:rFonts w:hint="default" w:ascii="Times New Roman" w:hAnsi="Times New Roman" w:cs="Times New Roman"/>
          <w:sz w:val="21"/>
          <w:szCs w:val="21"/>
        </w:rPr>
      </w:pPr>
      <w:r>
        <w:rPr>
          <w:rFonts w:hint="eastAsia" w:ascii="仿宋" w:hAnsi="仿宋" w:eastAsia="仿宋" w:cs="仿宋"/>
          <w:sz w:val="32"/>
          <w:szCs w:val="32"/>
          <w:bdr w:val="none" w:color="auto" w:sz="0" w:space="0"/>
          <w:shd w:val="clear" w:fill="FFFFFF"/>
        </w:rPr>
        <w:t>（三）政府信息管理</w:t>
      </w:r>
    </w:p>
    <w:p>
      <w:pPr>
        <w:pStyle w:val="2"/>
        <w:keepNext w:val="0"/>
        <w:keepLines w:val="0"/>
        <w:widowControl/>
        <w:suppressLineNumbers w:val="0"/>
        <w:autoSpaceDE w:val="0"/>
        <w:autoSpaceDN/>
        <w:spacing w:before="0" w:beforeAutospacing="0" w:after="0" w:afterAutospacing="0" w:line="576" w:lineRule="atLeast"/>
        <w:ind w:left="0" w:right="0" w:firstLine="640"/>
        <w:jc w:val="left"/>
        <w:rPr>
          <w:rFonts w:hint="default" w:ascii="Times New Roman" w:hAnsi="Times New Roman" w:cs="Times New Roman"/>
          <w:sz w:val="21"/>
          <w:szCs w:val="21"/>
        </w:rPr>
      </w:pPr>
      <w:r>
        <w:rPr>
          <w:rFonts w:hint="eastAsia" w:ascii="仿宋" w:hAnsi="仿宋" w:eastAsia="仿宋" w:cs="仿宋"/>
          <w:sz w:val="32"/>
          <w:szCs w:val="32"/>
        </w:rPr>
        <w:t>明确政务公开重点任务，根据区政务公开办公室下发的年度重点工作任务，制定《六安市叶集区科技经济信息化局</w:t>
      </w:r>
      <w:r>
        <w:rPr>
          <w:rFonts w:hint="default" w:ascii="Times New Roman" w:hAnsi="Times New Roman" w:eastAsia="仿宋" w:cs="Times New Roman"/>
          <w:sz w:val="32"/>
          <w:szCs w:val="32"/>
        </w:rPr>
        <w:t>2022</w:t>
      </w:r>
      <w:r>
        <w:rPr>
          <w:rFonts w:hint="eastAsia" w:ascii="仿宋" w:hAnsi="仿宋" w:eastAsia="仿宋" w:cs="仿宋"/>
          <w:sz w:val="32"/>
          <w:szCs w:val="32"/>
        </w:rPr>
        <w:t>年度政务公开重点工作要点和分工》，将责任细化落实到具体科室。全年开展网站隐私性排查</w:t>
      </w:r>
      <w:r>
        <w:rPr>
          <w:rFonts w:hint="default" w:ascii="Times New Roman" w:hAnsi="Times New Roman" w:eastAsia="仿宋" w:cs="Times New Roman"/>
          <w:sz w:val="32"/>
          <w:szCs w:val="32"/>
        </w:rPr>
        <w:t>2</w:t>
      </w:r>
      <w:r>
        <w:rPr>
          <w:rFonts w:hint="eastAsia" w:ascii="仿宋" w:hAnsi="仿宋" w:eastAsia="仿宋" w:cs="仿宋"/>
          <w:sz w:val="32"/>
          <w:szCs w:val="32"/>
        </w:rPr>
        <w:t>次，开展政务公开专项行动</w:t>
      </w:r>
      <w:r>
        <w:rPr>
          <w:rFonts w:hint="default" w:ascii="Times New Roman" w:hAnsi="Times New Roman" w:eastAsia="仿宋" w:cs="Times New Roman"/>
          <w:sz w:val="32"/>
          <w:szCs w:val="32"/>
        </w:rPr>
        <w:t>1</w:t>
      </w:r>
      <w:r>
        <w:rPr>
          <w:rFonts w:hint="eastAsia" w:ascii="仿宋" w:hAnsi="仿宋" w:eastAsia="仿宋" w:cs="仿宋"/>
          <w:sz w:val="32"/>
          <w:szCs w:val="32"/>
        </w:rPr>
        <w:t xml:space="preserve">次。分版块、分栏目明确目标，对发布时间、数量和质量等提出具体要求。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76" w:lineRule="atLeast"/>
        <w:ind w:left="0" w:right="0" w:firstLine="640"/>
        <w:jc w:val="left"/>
        <w:rPr>
          <w:rFonts w:hint="default" w:ascii="Times New Roman" w:hAnsi="Times New Roman" w:cs="Times New Roman"/>
          <w:sz w:val="21"/>
          <w:szCs w:val="21"/>
        </w:rPr>
      </w:pPr>
      <w:r>
        <w:rPr>
          <w:rFonts w:hint="eastAsia" w:ascii="仿宋" w:hAnsi="仿宋" w:eastAsia="仿宋" w:cs="仿宋"/>
          <w:sz w:val="32"/>
          <w:szCs w:val="32"/>
          <w:bdr w:val="none" w:color="auto" w:sz="0" w:space="0"/>
          <w:shd w:val="clear" w:fill="FFFFFF"/>
        </w:rPr>
        <w:t>（四）政府信息公开平台建设情况</w:t>
      </w:r>
    </w:p>
    <w:p>
      <w:pPr>
        <w:pStyle w:val="2"/>
        <w:keepNext w:val="0"/>
        <w:keepLines w:val="0"/>
        <w:widowControl/>
        <w:suppressLineNumbers w:val="0"/>
        <w:autoSpaceDE w:val="0"/>
        <w:autoSpaceDN/>
        <w:spacing w:before="0" w:beforeAutospacing="0" w:after="0" w:afterAutospacing="0" w:line="576" w:lineRule="atLeast"/>
        <w:ind w:left="0" w:right="0" w:firstLine="640"/>
        <w:jc w:val="left"/>
        <w:rPr>
          <w:rFonts w:hint="default" w:ascii="Times New Roman" w:hAnsi="Times New Roman" w:cs="Times New Roman"/>
          <w:sz w:val="21"/>
          <w:szCs w:val="21"/>
        </w:rPr>
      </w:pPr>
      <w:r>
        <w:rPr>
          <w:rFonts w:hint="eastAsia" w:ascii="仿宋" w:hAnsi="仿宋" w:eastAsia="仿宋" w:cs="仿宋"/>
          <w:sz w:val="32"/>
          <w:szCs w:val="32"/>
        </w:rPr>
        <w:t>一是明确专人负责平台维护，按照要求，安排专人维护、更新叶集区科技经济信息化局网站，配合做好上级安全评估和审查。保证信息公开的准确性、有效性、及时性，提升信息公开质量。二是加大政务新媒体平台建设，积极通过政务新媒体转发政策文件、回应关切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76" w:lineRule="atLeast"/>
        <w:ind w:left="0" w:right="0" w:firstLine="640"/>
        <w:jc w:val="left"/>
        <w:rPr>
          <w:rFonts w:hint="default" w:ascii="Times New Roman" w:hAnsi="Times New Roman" w:cs="Times New Roman"/>
          <w:sz w:val="21"/>
          <w:szCs w:val="21"/>
        </w:rPr>
      </w:pPr>
      <w:r>
        <w:rPr>
          <w:rFonts w:hint="eastAsia" w:ascii="仿宋" w:hAnsi="仿宋" w:eastAsia="仿宋" w:cs="仿宋"/>
          <w:sz w:val="32"/>
          <w:szCs w:val="32"/>
          <w:bdr w:val="none" w:color="auto" w:sz="0" w:space="0"/>
          <w:shd w:val="clear" w:fill="FFFFFF"/>
        </w:rPr>
        <w:t>（五）监督保障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76" w:lineRule="atLeast"/>
        <w:ind w:left="0" w:right="0" w:firstLine="640"/>
        <w:jc w:val="left"/>
        <w:rPr>
          <w:rFonts w:hint="default" w:ascii="Times New Roman" w:hAnsi="Times New Roman" w:cs="Times New Roman"/>
          <w:sz w:val="21"/>
          <w:szCs w:val="21"/>
        </w:rPr>
      </w:pPr>
      <w:r>
        <w:rPr>
          <w:rFonts w:hint="eastAsia" w:ascii="仿宋" w:hAnsi="仿宋" w:eastAsia="仿宋" w:cs="仿宋"/>
          <w:sz w:val="32"/>
          <w:szCs w:val="32"/>
          <w:bdr w:val="none" w:color="auto" w:sz="0" w:space="0"/>
          <w:shd w:val="clear" w:fill="FFFFFF"/>
        </w:rPr>
        <w:t>一是按时参加业务培训。按要求参加区政务公开办组织的政务公开跟班学习</w:t>
      </w:r>
      <w:r>
        <w:rPr>
          <w:rFonts w:hint="default" w:ascii="Times New Roman" w:hAnsi="Times New Roman" w:eastAsia="仿宋" w:cs="Times New Roman"/>
          <w:sz w:val="32"/>
          <w:szCs w:val="32"/>
          <w:bdr w:val="none" w:color="auto" w:sz="0" w:space="0"/>
          <w:shd w:val="clear" w:fill="FFFFFF"/>
        </w:rPr>
        <w:t>7</w:t>
      </w:r>
      <w:r>
        <w:rPr>
          <w:rFonts w:hint="eastAsia" w:ascii="仿宋" w:hAnsi="仿宋" w:eastAsia="仿宋" w:cs="仿宋"/>
          <w:sz w:val="32"/>
          <w:szCs w:val="32"/>
          <w:bdr w:val="none" w:color="auto" w:sz="0" w:space="0"/>
          <w:shd w:val="clear" w:fill="FFFFFF"/>
        </w:rPr>
        <w:t>次、政务公开专项培训</w:t>
      </w:r>
      <w:r>
        <w:rPr>
          <w:rFonts w:hint="default" w:ascii="Times New Roman" w:hAnsi="Times New Roman" w:eastAsia="仿宋" w:cs="Times New Roman"/>
          <w:sz w:val="32"/>
          <w:szCs w:val="32"/>
          <w:bdr w:val="none" w:color="auto" w:sz="0" w:space="0"/>
          <w:shd w:val="clear" w:fill="FFFFFF"/>
        </w:rPr>
        <w:t>1</w:t>
      </w:r>
      <w:r>
        <w:rPr>
          <w:rFonts w:hint="eastAsia" w:ascii="仿宋" w:hAnsi="仿宋" w:eastAsia="仿宋" w:cs="仿宋"/>
          <w:sz w:val="32"/>
          <w:szCs w:val="32"/>
          <w:bdr w:val="none" w:color="auto" w:sz="0" w:space="0"/>
          <w:shd w:val="clear" w:fill="FFFFFF"/>
        </w:rPr>
        <w:t>次，参加市级主管部门组织的专项学习</w:t>
      </w:r>
      <w:r>
        <w:rPr>
          <w:rFonts w:hint="default" w:ascii="Times New Roman" w:hAnsi="Times New Roman" w:eastAsia="仿宋" w:cs="Times New Roman"/>
          <w:sz w:val="32"/>
          <w:szCs w:val="32"/>
          <w:bdr w:val="none" w:color="auto" w:sz="0" w:space="0"/>
          <w:shd w:val="clear" w:fill="FFFFFF"/>
        </w:rPr>
        <w:t>1</w:t>
      </w:r>
      <w:r>
        <w:rPr>
          <w:rFonts w:hint="eastAsia" w:ascii="仿宋" w:hAnsi="仿宋" w:eastAsia="仿宋" w:cs="仿宋"/>
          <w:sz w:val="32"/>
          <w:szCs w:val="32"/>
          <w:bdr w:val="none" w:color="auto" w:sz="0" w:space="0"/>
          <w:shd w:val="clear" w:fill="FFFFFF"/>
        </w:rPr>
        <w:t>次，与时俱进，学习政务公开新理论、新要求。二是将政务公开内容分解到各科室，进一步压紧压实责任，形成工作合力。对测评反馈的问题认真落实整改，整改完成率</w:t>
      </w:r>
      <w:r>
        <w:rPr>
          <w:rFonts w:hint="default" w:ascii="Times New Roman" w:hAnsi="Times New Roman" w:eastAsia="仿宋" w:cs="Times New Roman"/>
          <w:sz w:val="32"/>
          <w:szCs w:val="32"/>
          <w:bdr w:val="none" w:color="auto" w:sz="0" w:space="0"/>
          <w:shd w:val="clear" w:fill="FFFFFF"/>
        </w:rPr>
        <w:t>100%</w:t>
      </w:r>
      <w:r>
        <w:rPr>
          <w:rFonts w:hint="eastAsia" w:ascii="仿宋" w:hAnsi="仿宋" w:eastAsia="仿宋" w:cs="仿宋"/>
          <w:sz w:val="32"/>
          <w:szCs w:val="32"/>
          <w:bdr w:val="none" w:color="auto" w:sz="0" w:space="0"/>
          <w:shd w:val="clear" w:fill="FFFFFF"/>
        </w:rPr>
        <w:t>，并将整改结果在政府信息公开网上予以公开。</w:t>
      </w:r>
    </w:p>
    <w:p>
      <w:pPr>
        <w:pStyle w:val="2"/>
        <w:keepNext w:val="0"/>
        <w:keepLines w:val="0"/>
        <w:widowControl/>
        <w:suppressLineNumbers w:val="0"/>
        <w:spacing w:after="0" w:afterAutospacing="0" w:line="576" w:lineRule="atLeast"/>
        <w:ind w:left="0" w:firstLine="640"/>
        <w:jc w:val="both"/>
        <w:rPr>
          <w:rFonts w:hint="eastAsia" w:ascii="仿宋" w:hAnsi="仿宋" w:eastAsia="仿宋" w:cs="仿宋"/>
          <w:sz w:val="32"/>
          <w:szCs w:val="32"/>
        </w:rPr>
      </w:pPr>
      <w:r>
        <w:rPr>
          <w:rFonts w:hint="eastAsia" w:ascii="黑体" w:hAnsi="宋体" w:eastAsia="黑体" w:cs="黑体"/>
          <w:sz w:val="32"/>
          <w:szCs w:val="32"/>
        </w:rPr>
        <w:t>二、主动公开政府信息情况</w:t>
      </w:r>
    </w:p>
    <w:tbl>
      <w:tblPr>
        <w:tblW w:w="5000" w:type="pct"/>
        <w:tblInd w:w="5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105"/>
        <w:gridCol w:w="2105"/>
        <w:gridCol w:w="2105"/>
        <w:gridCol w:w="2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67" w:hRule="atLeast"/>
        </w:trPr>
        <w:tc>
          <w:tcPr>
            <w:tcW w:w="8958" w:type="dxa"/>
            <w:gridSpan w:val="4"/>
            <w:tcBorders>
              <w:top w:val="single" w:color="auto" w:sz="12" w:space="0"/>
              <w:left w:val="single" w:color="auto" w:sz="12" w:space="0"/>
              <w:bottom w:val="single" w:color="auto" w:sz="8" w:space="0"/>
              <w:right w:val="single" w:color="auto" w:sz="12" w:space="0"/>
            </w:tcBorders>
            <w:shd w:val="clear" w:color="auto" w:fill="C6D9F1"/>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ascii="华文中宋" w:hAnsi="华文中宋" w:eastAsia="华文中宋" w:cs="华文中宋"/>
                <w:color w:val="000000"/>
                <w:sz w:val="21"/>
                <w:szCs w:val="21"/>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2240" w:type="dxa"/>
            <w:tcBorders>
              <w:top w:val="nil"/>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信息内容</w:t>
            </w:r>
          </w:p>
        </w:tc>
        <w:tc>
          <w:tcPr>
            <w:tcW w:w="2240"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本年制发件数</w:t>
            </w:r>
          </w:p>
        </w:tc>
        <w:tc>
          <w:tcPr>
            <w:tcW w:w="2239"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本年废止件数</w:t>
            </w:r>
          </w:p>
        </w:tc>
        <w:tc>
          <w:tcPr>
            <w:tcW w:w="2239" w:type="dxa"/>
            <w:tcBorders>
              <w:top w:val="single" w:color="auto" w:sz="8" w:space="0"/>
              <w:left w:val="nil"/>
              <w:bottom w:val="single" w:color="auto" w:sz="8" w:space="0"/>
              <w:right w:val="single" w:color="auto" w:sz="12"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2240" w:type="dxa"/>
            <w:tcBorders>
              <w:top w:val="nil"/>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规章</w:t>
            </w:r>
          </w:p>
        </w:tc>
        <w:tc>
          <w:tcPr>
            <w:tcW w:w="22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223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2239" w:type="dxa"/>
            <w:tcBorders>
              <w:top w:val="nil"/>
              <w:left w:val="nil"/>
              <w:bottom w:val="single" w:color="auto" w:sz="8" w:space="0"/>
              <w:right w:val="single" w:color="auto" w:sz="12"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2240" w:type="dxa"/>
            <w:tcBorders>
              <w:top w:val="nil"/>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行政规范性文件</w:t>
            </w:r>
          </w:p>
        </w:tc>
        <w:tc>
          <w:tcPr>
            <w:tcW w:w="224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2239"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2239" w:type="dxa"/>
            <w:tcBorders>
              <w:top w:val="nil"/>
              <w:left w:val="nil"/>
              <w:bottom w:val="single" w:color="auto" w:sz="8" w:space="0"/>
              <w:right w:val="single" w:color="auto" w:sz="12"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8958" w:type="dxa"/>
            <w:gridSpan w:val="4"/>
            <w:tcBorders>
              <w:top w:val="nil"/>
              <w:left w:val="single" w:color="auto" w:sz="12" w:space="0"/>
              <w:bottom w:val="single" w:color="auto" w:sz="8" w:space="0"/>
              <w:right w:val="single" w:color="auto" w:sz="12" w:space="0"/>
            </w:tcBorders>
            <w:shd w:val="clear" w:color="auto" w:fill="C6D9F1"/>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2240" w:type="dxa"/>
            <w:tcBorders>
              <w:top w:val="nil"/>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信息内容</w:t>
            </w:r>
          </w:p>
        </w:tc>
        <w:tc>
          <w:tcPr>
            <w:tcW w:w="6718" w:type="dxa"/>
            <w:gridSpan w:val="3"/>
            <w:tcBorders>
              <w:top w:val="nil"/>
              <w:left w:val="nil"/>
              <w:bottom w:val="single" w:color="auto" w:sz="8" w:space="0"/>
              <w:right w:val="single" w:color="auto" w:sz="12"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2240" w:type="dxa"/>
            <w:tcBorders>
              <w:top w:val="nil"/>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行政许可</w:t>
            </w:r>
          </w:p>
        </w:tc>
        <w:tc>
          <w:tcPr>
            <w:tcW w:w="6718" w:type="dxa"/>
            <w:gridSpan w:val="3"/>
            <w:tcBorders>
              <w:top w:val="nil"/>
              <w:left w:val="nil"/>
              <w:bottom w:val="single" w:color="auto" w:sz="8" w:space="0"/>
              <w:right w:val="single" w:color="auto" w:sz="12"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8958" w:type="dxa"/>
            <w:gridSpan w:val="4"/>
            <w:tcBorders>
              <w:top w:val="nil"/>
              <w:left w:val="single" w:color="auto" w:sz="12" w:space="0"/>
              <w:bottom w:val="single" w:color="auto" w:sz="8" w:space="0"/>
              <w:right w:val="single" w:color="auto" w:sz="12" w:space="0"/>
            </w:tcBorders>
            <w:shd w:val="clear" w:color="auto" w:fill="C6D9F1"/>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2240" w:type="dxa"/>
            <w:tcBorders>
              <w:top w:val="nil"/>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信息内容</w:t>
            </w:r>
          </w:p>
        </w:tc>
        <w:tc>
          <w:tcPr>
            <w:tcW w:w="6718" w:type="dxa"/>
            <w:gridSpan w:val="3"/>
            <w:tcBorders>
              <w:top w:val="single" w:color="auto" w:sz="8" w:space="0"/>
              <w:left w:val="nil"/>
              <w:bottom w:val="single" w:color="auto" w:sz="8" w:space="0"/>
              <w:right w:val="single" w:color="auto" w:sz="12"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2240" w:type="dxa"/>
            <w:tcBorders>
              <w:top w:val="nil"/>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行政处罚</w:t>
            </w:r>
          </w:p>
        </w:tc>
        <w:tc>
          <w:tcPr>
            <w:tcW w:w="6718" w:type="dxa"/>
            <w:gridSpan w:val="3"/>
            <w:tcBorders>
              <w:top w:val="nil"/>
              <w:left w:val="nil"/>
              <w:bottom w:val="single" w:color="auto" w:sz="8" w:space="0"/>
              <w:right w:val="single" w:color="auto" w:sz="12"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2240" w:type="dxa"/>
            <w:tcBorders>
              <w:top w:val="nil"/>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行政强制</w:t>
            </w:r>
          </w:p>
        </w:tc>
        <w:tc>
          <w:tcPr>
            <w:tcW w:w="6718" w:type="dxa"/>
            <w:gridSpan w:val="3"/>
            <w:tcBorders>
              <w:top w:val="nil"/>
              <w:left w:val="nil"/>
              <w:bottom w:val="single" w:color="auto" w:sz="8" w:space="0"/>
              <w:right w:val="single" w:color="auto" w:sz="12"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8958" w:type="dxa"/>
            <w:gridSpan w:val="4"/>
            <w:tcBorders>
              <w:top w:val="nil"/>
              <w:left w:val="single" w:color="auto" w:sz="12" w:space="0"/>
              <w:bottom w:val="single" w:color="auto" w:sz="8" w:space="0"/>
              <w:right w:val="single" w:color="auto" w:sz="12" w:space="0"/>
            </w:tcBorders>
            <w:shd w:val="clear" w:color="auto" w:fill="C6D9F1"/>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2240" w:type="dxa"/>
            <w:tcBorders>
              <w:top w:val="nil"/>
              <w:left w:val="single" w:color="auto" w:sz="12"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信息内容</w:t>
            </w:r>
          </w:p>
        </w:tc>
        <w:tc>
          <w:tcPr>
            <w:tcW w:w="6718" w:type="dxa"/>
            <w:gridSpan w:val="3"/>
            <w:tcBorders>
              <w:top w:val="nil"/>
              <w:left w:val="nil"/>
              <w:bottom w:val="single" w:color="auto" w:sz="8" w:space="0"/>
              <w:right w:val="single" w:color="auto" w:sz="12"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7" w:hRule="atLeast"/>
        </w:trPr>
        <w:tc>
          <w:tcPr>
            <w:tcW w:w="2240" w:type="dxa"/>
            <w:tcBorders>
              <w:top w:val="nil"/>
              <w:left w:val="single" w:color="auto" w:sz="12" w:space="0"/>
              <w:bottom w:val="single" w:color="auto" w:sz="12"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行政事业性收费</w:t>
            </w:r>
          </w:p>
        </w:tc>
        <w:tc>
          <w:tcPr>
            <w:tcW w:w="6718" w:type="dxa"/>
            <w:gridSpan w:val="3"/>
            <w:tcBorders>
              <w:top w:val="nil"/>
              <w:left w:val="nil"/>
              <w:bottom w:val="single" w:color="auto" w:sz="12" w:space="0"/>
              <w:right w:val="single" w:color="auto" w:sz="12"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bl>
    <w:p>
      <w:pPr>
        <w:pStyle w:val="2"/>
        <w:keepNext w:val="0"/>
        <w:keepLines w:val="0"/>
        <w:widowControl/>
        <w:suppressLineNumbers w:val="0"/>
        <w:spacing w:after="0" w:afterAutospacing="0" w:line="576" w:lineRule="atLeast"/>
        <w:ind w:left="0" w:firstLine="640"/>
        <w:jc w:val="both"/>
        <w:rPr>
          <w:rFonts w:hint="eastAsia" w:ascii="仿宋" w:hAnsi="仿宋" w:eastAsia="仿宋" w:cs="仿宋"/>
          <w:sz w:val="32"/>
          <w:szCs w:val="32"/>
        </w:rPr>
      </w:pPr>
      <w:r>
        <w:rPr>
          <w:rFonts w:hint="eastAsia" w:ascii="黑体" w:hAnsi="宋体" w:eastAsia="黑体" w:cs="黑体"/>
          <w:sz w:val="32"/>
          <w:szCs w:val="32"/>
        </w:rPr>
        <w:t>三、收到和处理政府信息公开申请情况</w:t>
      </w:r>
    </w:p>
    <w:tbl>
      <w:tblPr>
        <w:tblW w:w="4887" w:type="pct"/>
        <w:tblInd w:w="153"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73"/>
        <w:gridCol w:w="840"/>
        <w:gridCol w:w="2549"/>
        <w:gridCol w:w="582"/>
        <w:gridCol w:w="606"/>
        <w:gridCol w:w="606"/>
        <w:gridCol w:w="606"/>
        <w:gridCol w:w="606"/>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rHeight w:val="340" w:hRule="atLeast"/>
        </w:trPr>
        <w:tc>
          <w:tcPr>
            <w:tcW w:w="4392" w:type="dxa"/>
            <w:gridSpan w:val="3"/>
            <w:vMerge w:val="restart"/>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（本列数据的勾稽关系为：第一项加第二项之和，等于第三项加第四项之和）</w:t>
            </w:r>
          </w:p>
        </w:tc>
        <w:tc>
          <w:tcPr>
            <w:tcW w:w="4412" w:type="dxa"/>
            <w:gridSpan w:val="7"/>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4392" w:type="dxa"/>
            <w:gridSpan w:val="3"/>
            <w:vMerge w:val="continue"/>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20" w:type="dxa"/>
            <w:vMerge w:val="restar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自然人</w:t>
            </w:r>
          </w:p>
        </w:tc>
        <w:tc>
          <w:tcPr>
            <w:tcW w:w="3160"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法人或其他组织</w:t>
            </w:r>
          </w:p>
        </w:tc>
        <w:tc>
          <w:tcPr>
            <w:tcW w:w="632" w:type="dxa"/>
            <w:vMerge w:val="restart"/>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4392" w:type="dxa"/>
            <w:gridSpan w:val="3"/>
            <w:vMerge w:val="continue"/>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20" w:type="dxa"/>
            <w:vMerge w:val="continue"/>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632"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商业</w:t>
            </w:r>
          </w:p>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企业</w:t>
            </w:r>
          </w:p>
        </w:tc>
        <w:tc>
          <w:tcPr>
            <w:tcW w:w="632"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科研</w:t>
            </w:r>
          </w:p>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机构</w:t>
            </w:r>
          </w:p>
        </w:tc>
        <w:tc>
          <w:tcPr>
            <w:tcW w:w="632"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社会公益组织</w:t>
            </w:r>
          </w:p>
        </w:tc>
        <w:tc>
          <w:tcPr>
            <w:tcW w:w="632"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法律服务机构</w:t>
            </w:r>
          </w:p>
        </w:tc>
        <w:tc>
          <w:tcPr>
            <w:tcW w:w="632"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其他</w:t>
            </w:r>
          </w:p>
        </w:tc>
        <w:tc>
          <w:tcPr>
            <w:tcW w:w="632" w:type="dxa"/>
            <w:vMerge w:val="continue"/>
            <w:tcBorders>
              <w:top w:val="single" w:color="auto" w:sz="8" w:space="0"/>
              <w:left w:val="single" w:color="auto" w:sz="8" w:space="0"/>
              <w:bottom w:val="outset"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4392"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一、本年新收政府信息公开申请数量</w:t>
            </w:r>
          </w:p>
        </w:tc>
        <w:tc>
          <w:tcPr>
            <w:tcW w:w="62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4392"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二、上年结转政府信息公开申请数量</w:t>
            </w:r>
          </w:p>
        </w:tc>
        <w:tc>
          <w:tcPr>
            <w:tcW w:w="62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694" w:type="dxa"/>
            <w:vMerge w:val="restart"/>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三、本年度办理结果</w:t>
            </w:r>
          </w:p>
        </w:tc>
        <w:tc>
          <w:tcPr>
            <w:tcW w:w="3698"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（一）予以公开</w:t>
            </w:r>
          </w:p>
        </w:tc>
        <w:tc>
          <w:tcPr>
            <w:tcW w:w="62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694"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698"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（二）部分公开（区分处理的，只计这一情形，不计其他情形）</w:t>
            </w:r>
          </w:p>
        </w:tc>
        <w:tc>
          <w:tcPr>
            <w:tcW w:w="62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694"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55" w:type="dxa"/>
            <w:vMerge w:val="restart"/>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（三）不予公开</w:t>
            </w:r>
          </w:p>
        </w:tc>
        <w:tc>
          <w:tcPr>
            <w:tcW w:w="2843"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1.</w:t>
            </w:r>
            <w:r>
              <w:rPr>
                <w:rFonts w:hint="eastAsia" w:ascii="华文中宋" w:hAnsi="华文中宋" w:eastAsia="华文中宋" w:cs="华文中宋"/>
                <w:color w:val="000000"/>
                <w:sz w:val="21"/>
                <w:szCs w:val="21"/>
              </w:rPr>
              <w:t>属于国家秘密</w:t>
            </w:r>
          </w:p>
        </w:tc>
        <w:tc>
          <w:tcPr>
            <w:tcW w:w="62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694"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55"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843"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2.</w:t>
            </w:r>
            <w:r>
              <w:rPr>
                <w:rFonts w:hint="eastAsia" w:ascii="华文中宋" w:hAnsi="华文中宋" w:eastAsia="华文中宋" w:cs="华文中宋"/>
                <w:color w:val="000000"/>
                <w:sz w:val="21"/>
                <w:szCs w:val="21"/>
              </w:rPr>
              <w:t>其他法律行政法规禁止公开</w:t>
            </w:r>
          </w:p>
        </w:tc>
        <w:tc>
          <w:tcPr>
            <w:tcW w:w="62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694"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55"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843"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3.</w:t>
            </w:r>
            <w:r>
              <w:rPr>
                <w:rFonts w:hint="eastAsia" w:ascii="华文中宋" w:hAnsi="华文中宋" w:eastAsia="华文中宋" w:cs="华文中宋"/>
                <w:color w:val="000000"/>
                <w:sz w:val="21"/>
                <w:szCs w:val="21"/>
              </w:rPr>
              <w:t>危及“三安全一稳定”</w:t>
            </w:r>
          </w:p>
        </w:tc>
        <w:tc>
          <w:tcPr>
            <w:tcW w:w="62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694"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55"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843"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4.</w:t>
            </w:r>
            <w:r>
              <w:rPr>
                <w:rFonts w:hint="eastAsia" w:ascii="华文中宋" w:hAnsi="华文中宋" w:eastAsia="华文中宋" w:cs="华文中宋"/>
                <w:color w:val="000000"/>
                <w:sz w:val="21"/>
                <w:szCs w:val="21"/>
              </w:rPr>
              <w:t>保护第三方合法权益</w:t>
            </w:r>
          </w:p>
        </w:tc>
        <w:tc>
          <w:tcPr>
            <w:tcW w:w="62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694"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55"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843"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5.</w:t>
            </w:r>
            <w:r>
              <w:rPr>
                <w:rFonts w:hint="eastAsia" w:ascii="华文中宋" w:hAnsi="华文中宋" w:eastAsia="华文中宋" w:cs="华文中宋"/>
                <w:color w:val="000000"/>
                <w:sz w:val="21"/>
                <w:szCs w:val="21"/>
              </w:rPr>
              <w:t>属于三类内部事务信息</w:t>
            </w:r>
          </w:p>
        </w:tc>
        <w:tc>
          <w:tcPr>
            <w:tcW w:w="62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694"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55"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843"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6.</w:t>
            </w:r>
            <w:r>
              <w:rPr>
                <w:rFonts w:hint="eastAsia" w:ascii="华文中宋" w:hAnsi="华文中宋" w:eastAsia="华文中宋" w:cs="华文中宋"/>
                <w:color w:val="000000"/>
                <w:sz w:val="21"/>
                <w:szCs w:val="21"/>
              </w:rPr>
              <w:t>属于四类过程性信息</w:t>
            </w:r>
          </w:p>
        </w:tc>
        <w:tc>
          <w:tcPr>
            <w:tcW w:w="62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694"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55"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843"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7.</w:t>
            </w:r>
            <w:r>
              <w:rPr>
                <w:rFonts w:hint="eastAsia" w:ascii="华文中宋" w:hAnsi="华文中宋" w:eastAsia="华文中宋" w:cs="华文中宋"/>
                <w:color w:val="000000"/>
                <w:sz w:val="21"/>
                <w:szCs w:val="21"/>
              </w:rPr>
              <w:t>属于行政执法案卷</w:t>
            </w:r>
          </w:p>
        </w:tc>
        <w:tc>
          <w:tcPr>
            <w:tcW w:w="62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694"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55"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843"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8.</w:t>
            </w:r>
            <w:r>
              <w:rPr>
                <w:rFonts w:hint="eastAsia" w:ascii="华文中宋" w:hAnsi="华文中宋" w:eastAsia="华文中宋" w:cs="华文中宋"/>
                <w:color w:val="000000"/>
                <w:sz w:val="21"/>
                <w:szCs w:val="21"/>
              </w:rPr>
              <w:t>属于行政查询事项</w:t>
            </w:r>
          </w:p>
        </w:tc>
        <w:tc>
          <w:tcPr>
            <w:tcW w:w="62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694"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55" w:type="dxa"/>
            <w:vMerge w:val="restart"/>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（四）无法提供</w:t>
            </w:r>
          </w:p>
        </w:tc>
        <w:tc>
          <w:tcPr>
            <w:tcW w:w="2843"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1.</w:t>
            </w:r>
            <w:r>
              <w:rPr>
                <w:rFonts w:hint="eastAsia" w:ascii="华文中宋" w:hAnsi="华文中宋" w:eastAsia="华文中宋" w:cs="华文中宋"/>
                <w:color w:val="000000"/>
                <w:sz w:val="21"/>
                <w:szCs w:val="21"/>
              </w:rPr>
              <w:t>本机关不掌握相关政府信息</w:t>
            </w:r>
          </w:p>
        </w:tc>
        <w:tc>
          <w:tcPr>
            <w:tcW w:w="62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694"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55"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843"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2.</w:t>
            </w:r>
            <w:r>
              <w:rPr>
                <w:rFonts w:hint="eastAsia" w:ascii="华文中宋" w:hAnsi="华文中宋" w:eastAsia="华文中宋" w:cs="华文中宋"/>
                <w:color w:val="000000"/>
                <w:sz w:val="21"/>
                <w:szCs w:val="21"/>
              </w:rPr>
              <w:t>没有现成信息需要另行制作</w:t>
            </w:r>
          </w:p>
        </w:tc>
        <w:tc>
          <w:tcPr>
            <w:tcW w:w="62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694"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55"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843"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3.</w:t>
            </w:r>
            <w:r>
              <w:rPr>
                <w:rFonts w:hint="eastAsia" w:ascii="华文中宋" w:hAnsi="华文中宋" w:eastAsia="华文中宋" w:cs="华文中宋"/>
                <w:color w:val="000000"/>
                <w:sz w:val="21"/>
                <w:szCs w:val="21"/>
              </w:rPr>
              <w:t>补正后申请内容仍不明确</w:t>
            </w:r>
          </w:p>
        </w:tc>
        <w:tc>
          <w:tcPr>
            <w:tcW w:w="62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694"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55" w:type="dxa"/>
            <w:vMerge w:val="restart"/>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（五）不予处理</w:t>
            </w:r>
          </w:p>
        </w:tc>
        <w:tc>
          <w:tcPr>
            <w:tcW w:w="2843"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1.</w:t>
            </w:r>
            <w:r>
              <w:rPr>
                <w:rFonts w:hint="eastAsia" w:ascii="华文中宋" w:hAnsi="华文中宋" w:eastAsia="华文中宋" w:cs="华文中宋"/>
                <w:color w:val="000000"/>
                <w:sz w:val="21"/>
                <w:szCs w:val="21"/>
              </w:rPr>
              <w:t>信访举报投诉类申请</w:t>
            </w:r>
          </w:p>
        </w:tc>
        <w:tc>
          <w:tcPr>
            <w:tcW w:w="62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694"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55"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843"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2.</w:t>
            </w:r>
            <w:r>
              <w:rPr>
                <w:rFonts w:hint="eastAsia" w:ascii="华文中宋" w:hAnsi="华文中宋" w:eastAsia="华文中宋" w:cs="华文中宋"/>
                <w:color w:val="000000"/>
                <w:sz w:val="21"/>
                <w:szCs w:val="21"/>
              </w:rPr>
              <w:t>重复申请</w:t>
            </w:r>
          </w:p>
        </w:tc>
        <w:tc>
          <w:tcPr>
            <w:tcW w:w="62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694"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55"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843"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3.</w:t>
            </w:r>
            <w:r>
              <w:rPr>
                <w:rFonts w:hint="eastAsia" w:ascii="华文中宋" w:hAnsi="华文中宋" w:eastAsia="华文中宋" w:cs="华文中宋"/>
                <w:color w:val="000000"/>
                <w:sz w:val="21"/>
                <w:szCs w:val="21"/>
              </w:rPr>
              <w:t>要求提供公开出版物</w:t>
            </w:r>
          </w:p>
        </w:tc>
        <w:tc>
          <w:tcPr>
            <w:tcW w:w="62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694"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55"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843"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4.</w:t>
            </w:r>
            <w:r>
              <w:rPr>
                <w:rFonts w:hint="eastAsia" w:ascii="华文中宋" w:hAnsi="华文中宋" w:eastAsia="华文中宋" w:cs="华文中宋"/>
                <w:color w:val="000000"/>
                <w:sz w:val="21"/>
                <w:szCs w:val="21"/>
              </w:rPr>
              <w:t>无正当理由大量反复申请</w:t>
            </w:r>
          </w:p>
        </w:tc>
        <w:tc>
          <w:tcPr>
            <w:tcW w:w="62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694"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55"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843"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5.</w:t>
            </w:r>
            <w:r>
              <w:rPr>
                <w:rFonts w:hint="eastAsia" w:ascii="华文中宋" w:hAnsi="华文中宋" w:eastAsia="华文中宋" w:cs="华文中宋"/>
                <w:color w:val="000000"/>
                <w:sz w:val="21"/>
                <w:szCs w:val="21"/>
              </w:rPr>
              <w:t>要求行政机关确认或重新出具已获取信息</w:t>
            </w:r>
          </w:p>
        </w:tc>
        <w:tc>
          <w:tcPr>
            <w:tcW w:w="620"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694"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55" w:type="dxa"/>
            <w:vMerge w:val="restart"/>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（六）其他处理</w:t>
            </w:r>
          </w:p>
        </w:tc>
        <w:tc>
          <w:tcPr>
            <w:tcW w:w="2843"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1.</w:t>
            </w:r>
            <w:r>
              <w:rPr>
                <w:rFonts w:hint="eastAsia" w:ascii="华文中宋" w:hAnsi="华文中宋" w:eastAsia="华文中宋" w:cs="华文中宋"/>
                <w:color w:val="000000"/>
                <w:sz w:val="21"/>
                <w:szCs w:val="21"/>
              </w:rPr>
              <w:t>申请人无正当理由逾期不补正、行政机关不再处理其政府信息公开申请</w:t>
            </w:r>
          </w:p>
        </w:tc>
        <w:tc>
          <w:tcPr>
            <w:tcW w:w="62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694"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55"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843"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2.</w:t>
            </w:r>
            <w:r>
              <w:rPr>
                <w:rFonts w:hint="eastAsia" w:ascii="华文中宋" w:hAnsi="华文中宋" w:eastAsia="华文中宋" w:cs="华文中宋"/>
                <w:color w:val="000000"/>
                <w:sz w:val="21"/>
                <w:szCs w:val="21"/>
              </w:rPr>
              <w:t>申请人逾期未按收费通知要求缴纳费用、行政机关不再处理其政府信息公开申请</w:t>
            </w:r>
          </w:p>
        </w:tc>
        <w:tc>
          <w:tcPr>
            <w:tcW w:w="62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694"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855" w:type="dxa"/>
            <w:vMerge w:val="continue"/>
            <w:tcBorders>
              <w:top w:val="nil"/>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2843"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3.</w:t>
            </w:r>
            <w:r>
              <w:rPr>
                <w:rFonts w:hint="eastAsia" w:ascii="华文中宋" w:hAnsi="华文中宋" w:eastAsia="华文中宋" w:cs="华文中宋"/>
                <w:color w:val="000000"/>
                <w:sz w:val="21"/>
                <w:szCs w:val="21"/>
              </w:rPr>
              <w:t>其他</w:t>
            </w:r>
          </w:p>
        </w:tc>
        <w:tc>
          <w:tcPr>
            <w:tcW w:w="62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694" w:type="dxa"/>
            <w:vMerge w:val="continue"/>
            <w:tcBorders>
              <w:top w:val="single" w:color="auto" w:sz="8" w:space="0"/>
              <w:left w:val="single" w:color="auto" w:sz="8" w:space="0"/>
              <w:bottom w:val="outset" w:color="auto" w:sz="8" w:space="0"/>
              <w:right w:val="single" w:color="auto" w:sz="8" w:space="0"/>
            </w:tcBorders>
            <w:shd w:val="clear"/>
            <w:tcMar>
              <w:top w:w="0" w:type="dxa"/>
              <w:left w:w="57" w:type="dxa"/>
              <w:bottom w:w="0" w:type="dxa"/>
              <w:right w:w="57" w:type="dxa"/>
            </w:tcMar>
            <w:vAlign w:val="center"/>
          </w:tcPr>
          <w:p>
            <w:pPr>
              <w:rPr>
                <w:rFonts w:hint="default" w:ascii="Times New Roman" w:hAnsi="Times New Roman" w:cs="Times New Roman"/>
                <w:sz w:val="20"/>
                <w:szCs w:val="20"/>
              </w:rPr>
            </w:pPr>
          </w:p>
        </w:tc>
        <w:tc>
          <w:tcPr>
            <w:tcW w:w="3698"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（七）总计</w:t>
            </w:r>
          </w:p>
        </w:tc>
        <w:tc>
          <w:tcPr>
            <w:tcW w:w="62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trPr>
        <w:tc>
          <w:tcPr>
            <w:tcW w:w="4392"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四、结转下年度继续办理</w:t>
            </w:r>
          </w:p>
        </w:tc>
        <w:tc>
          <w:tcPr>
            <w:tcW w:w="62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32"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line="280" w:lineRule="atLeast"/>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bl>
    <w:p>
      <w:pPr>
        <w:pStyle w:val="2"/>
        <w:keepNext w:val="0"/>
        <w:keepLines w:val="0"/>
        <w:widowControl/>
        <w:suppressLineNumbers w:val="0"/>
        <w:spacing w:after="0" w:afterAutospacing="0" w:line="576" w:lineRule="atLeast"/>
        <w:ind w:left="0" w:firstLine="640"/>
        <w:jc w:val="both"/>
        <w:rPr>
          <w:rFonts w:hint="eastAsia" w:ascii="仿宋" w:hAnsi="仿宋" w:eastAsia="仿宋" w:cs="仿宋"/>
          <w:sz w:val="32"/>
          <w:szCs w:val="32"/>
        </w:rPr>
      </w:pPr>
      <w:r>
        <w:rPr>
          <w:rFonts w:hint="eastAsia" w:ascii="黑体" w:hAnsi="宋体" w:eastAsia="黑体" w:cs="黑体"/>
          <w:sz w:val="32"/>
          <w:szCs w:val="32"/>
        </w:rPr>
        <w:t>四、政府信息公开行政复议、行政诉讼情况</w:t>
      </w:r>
    </w:p>
    <w:tbl>
      <w:tblPr>
        <w:tblW w:w="5000" w:type="pct"/>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cantSplit/>
          <w:trHeight w:val="567" w:hRule="atLeast"/>
        </w:trPr>
        <w:tc>
          <w:tcPr>
            <w:tcW w:w="3020" w:type="dxa"/>
            <w:gridSpan w:val="5"/>
            <w:tcBorders>
              <w:top w:val="single" w:color="auto" w:sz="12" w:space="0"/>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行政复议</w:t>
            </w:r>
          </w:p>
        </w:tc>
        <w:tc>
          <w:tcPr>
            <w:tcW w:w="6040" w:type="dxa"/>
            <w:gridSpan w:val="10"/>
            <w:tcBorders>
              <w:top w:val="single" w:color="auto" w:sz="12" w:space="0"/>
              <w:left w:val="nil"/>
              <w:bottom w:val="single" w:color="auto" w:sz="8"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567" w:hRule="atLeast"/>
        </w:trPr>
        <w:tc>
          <w:tcPr>
            <w:tcW w:w="604" w:type="dxa"/>
            <w:vMerge w:val="restart"/>
            <w:tcBorders>
              <w:top w:val="nil"/>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结果维持</w:t>
            </w:r>
          </w:p>
        </w:tc>
        <w:tc>
          <w:tcPr>
            <w:tcW w:w="60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结果</w:t>
            </w:r>
            <w:r>
              <w:rPr>
                <w:rFonts w:hint="eastAsia" w:ascii="华文中宋" w:hAnsi="华文中宋" w:eastAsia="华文中宋" w:cs="华文中宋"/>
                <w:color w:val="000000"/>
                <w:sz w:val="21"/>
                <w:szCs w:val="21"/>
              </w:rPr>
              <w:br w:type="textWrapping"/>
            </w:r>
            <w:r>
              <w:rPr>
                <w:rFonts w:hint="eastAsia" w:ascii="华文中宋" w:hAnsi="华文中宋" w:eastAsia="华文中宋" w:cs="华文中宋"/>
                <w:color w:val="000000"/>
                <w:sz w:val="21"/>
                <w:szCs w:val="21"/>
              </w:rPr>
              <w:t>纠正</w:t>
            </w:r>
          </w:p>
        </w:tc>
        <w:tc>
          <w:tcPr>
            <w:tcW w:w="604"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其他</w:t>
            </w:r>
            <w:r>
              <w:rPr>
                <w:rFonts w:hint="eastAsia" w:ascii="华文中宋" w:hAnsi="华文中宋" w:eastAsia="华文中宋" w:cs="华文中宋"/>
                <w:color w:val="000000"/>
                <w:sz w:val="21"/>
                <w:szCs w:val="21"/>
              </w:rPr>
              <w:br w:type="textWrapping"/>
            </w:r>
            <w:r>
              <w:rPr>
                <w:rFonts w:hint="eastAsia" w:ascii="华文中宋" w:hAnsi="华文中宋" w:eastAsia="华文中宋" w:cs="华文中宋"/>
                <w:color w:val="000000"/>
                <w:sz w:val="21"/>
                <w:szCs w:val="21"/>
              </w:rPr>
              <w:t>结果</w:t>
            </w:r>
          </w:p>
        </w:tc>
        <w:tc>
          <w:tcPr>
            <w:tcW w:w="604"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尚未</w:t>
            </w:r>
            <w:r>
              <w:rPr>
                <w:rFonts w:hint="eastAsia" w:ascii="华文中宋" w:hAnsi="华文中宋" w:eastAsia="华文中宋" w:cs="华文中宋"/>
                <w:color w:val="000000"/>
                <w:sz w:val="21"/>
                <w:szCs w:val="21"/>
              </w:rPr>
              <w:br w:type="textWrapping"/>
            </w:r>
            <w:r>
              <w:rPr>
                <w:rFonts w:hint="eastAsia" w:ascii="华文中宋" w:hAnsi="华文中宋" w:eastAsia="华文中宋" w:cs="华文中宋"/>
                <w:color w:val="000000"/>
                <w:sz w:val="21"/>
                <w:szCs w:val="21"/>
              </w:rPr>
              <w:t>审结</w:t>
            </w:r>
          </w:p>
        </w:tc>
        <w:tc>
          <w:tcPr>
            <w:tcW w:w="604"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总计</w:t>
            </w:r>
          </w:p>
        </w:tc>
        <w:tc>
          <w:tcPr>
            <w:tcW w:w="3020"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未经复议直接起诉</w:t>
            </w:r>
          </w:p>
        </w:tc>
        <w:tc>
          <w:tcPr>
            <w:tcW w:w="3020" w:type="dxa"/>
            <w:gridSpan w:val="5"/>
            <w:tcBorders>
              <w:top w:val="single" w:color="auto" w:sz="8" w:space="0"/>
              <w:left w:val="nil"/>
              <w:bottom w:val="single" w:color="auto" w:sz="8"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567" w:hRule="atLeast"/>
        </w:trPr>
        <w:tc>
          <w:tcPr>
            <w:tcW w:w="604" w:type="dxa"/>
            <w:vMerge w:val="continue"/>
            <w:tcBorders>
              <w:top w:val="nil"/>
              <w:left w:val="single" w:color="auto" w:sz="12"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0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04"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04"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04"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imes New Roman" w:hAnsi="Times New Roman" w:cs="Times New Roman"/>
                <w:sz w:val="20"/>
                <w:szCs w:val="20"/>
              </w:rPr>
            </w:pPr>
          </w:p>
        </w:tc>
        <w:tc>
          <w:tcPr>
            <w:tcW w:w="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结果</w:t>
            </w:r>
            <w:r>
              <w:rPr>
                <w:rFonts w:hint="eastAsia" w:ascii="华文中宋" w:hAnsi="华文中宋" w:eastAsia="华文中宋" w:cs="华文中宋"/>
                <w:color w:val="000000"/>
                <w:sz w:val="21"/>
                <w:szCs w:val="21"/>
              </w:rPr>
              <w:br w:type="textWrapping"/>
            </w:r>
            <w:r>
              <w:rPr>
                <w:rFonts w:hint="eastAsia" w:ascii="华文中宋" w:hAnsi="华文中宋" w:eastAsia="华文中宋" w:cs="华文中宋"/>
                <w:color w:val="000000"/>
                <w:sz w:val="21"/>
                <w:szCs w:val="21"/>
              </w:rPr>
              <w:t>维持</w:t>
            </w:r>
          </w:p>
        </w:tc>
        <w:tc>
          <w:tcPr>
            <w:tcW w:w="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结果</w:t>
            </w:r>
            <w:r>
              <w:rPr>
                <w:rFonts w:hint="eastAsia" w:ascii="华文中宋" w:hAnsi="华文中宋" w:eastAsia="华文中宋" w:cs="华文中宋"/>
                <w:color w:val="000000"/>
                <w:sz w:val="21"/>
                <w:szCs w:val="21"/>
              </w:rPr>
              <w:br w:type="textWrapping"/>
            </w:r>
            <w:r>
              <w:rPr>
                <w:rFonts w:hint="eastAsia" w:ascii="华文中宋" w:hAnsi="华文中宋" w:eastAsia="华文中宋" w:cs="华文中宋"/>
                <w:color w:val="000000"/>
                <w:sz w:val="21"/>
                <w:szCs w:val="21"/>
              </w:rPr>
              <w:t>纠正</w:t>
            </w:r>
          </w:p>
        </w:tc>
        <w:tc>
          <w:tcPr>
            <w:tcW w:w="60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其他</w:t>
            </w:r>
            <w:r>
              <w:rPr>
                <w:rFonts w:hint="eastAsia" w:ascii="华文中宋" w:hAnsi="华文中宋" w:eastAsia="华文中宋" w:cs="华文中宋"/>
                <w:color w:val="000000"/>
                <w:sz w:val="21"/>
                <w:szCs w:val="21"/>
              </w:rPr>
              <w:br w:type="textWrapping"/>
            </w:r>
            <w:r>
              <w:rPr>
                <w:rFonts w:hint="eastAsia" w:ascii="华文中宋" w:hAnsi="华文中宋" w:eastAsia="华文中宋" w:cs="华文中宋"/>
                <w:color w:val="000000"/>
                <w:sz w:val="21"/>
                <w:szCs w:val="21"/>
              </w:rPr>
              <w:t>结果</w:t>
            </w:r>
          </w:p>
        </w:tc>
        <w:tc>
          <w:tcPr>
            <w:tcW w:w="60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尚未</w:t>
            </w:r>
            <w:r>
              <w:rPr>
                <w:rFonts w:hint="eastAsia" w:ascii="华文中宋" w:hAnsi="华文中宋" w:eastAsia="华文中宋" w:cs="华文中宋"/>
                <w:color w:val="000000"/>
                <w:sz w:val="21"/>
                <w:szCs w:val="21"/>
              </w:rPr>
              <w:br w:type="textWrapping"/>
            </w:r>
            <w:r>
              <w:rPr>
                <w:rFonts w:hint="eastAsia" w:ascii="华文中宋" w:hAnsi="华文中宋" w:eastAsia="华文中宋" w:cs="华文中宋"/>
                <w:color w:val="000000"/>
                <w:sz w:val="21"/>
                <w:szCs w:val="21"/>
              </w:rPr>
              <w:t>审结</w:t>
            </w:r>
          </w:p>
        </w:tc>
        <w:tc>
          <w:tcPr>
            <w:tcW w:w="60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总计</w:t>
            </w:r>
          </w:p>
        </w:tc>
        <w:tc>
          <w:tcPr>
            <w:tcW w:w="60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结果</w:t>
            </w:r>
            <w:r>
              <w:rPr>
                <w:rFonts w:hint="eastAsia" w:ascii="华文中宋" w:hAnsi="华文中宋" w:eastAsia="华文中宋" w:cs="华文中宋"/>
                <w:color w:val="000000"/>
                <w:sz w:val="21"/>
                <w:szCs w:val="21"/>
              </w:rPr>
              <w:br w:type="textWrapping"/>
            </w:r>
            <w:r>
              <w:rPr>
                <w:rFonts w:hint="eastAsia" w:ascii="华文中宋" w:hAnsi="华文中宋" w:eastAsia="华文中宋" w:cs="华文中宋"/>
                <w:color w:val="000000"/>
                <w:sz w:val="21"/>
                <w:szCs w:val="21"/>
              </w:rPr>
              <w:t>维持</w:t>
            </w:r>
          </w:p>
        </w:tc>
        <w:tc>
          <w:tcPr>
            <w:tcW w:w="60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结果</w:t>
            </w:r>
            <w:r>
              <w:rPr>
                <w:rFonts w:hint="eastAsia" w:ascii="华文中宋" w:hAnsi="华文中宋" w:eastAsia="华文中宋" w:cs="华文中宋"/>
                <w:color w:val="000000"/>
                <w:sz w:val="21"/>
                <w:szCs w:val="21"/>
              </w:rPr>
              <w:br w:type="textWrapping"/>
            </w:r>
            <w:r>
              <w:rPr>
                <w:rFonts w:hint="eastAsia" w:ascii="华文中宋" w:hAnsi="华文中宋" w:eastAsia="华文中宋" w:cs="华文中宋"/>
                <w:color w:val="000000"/>
                <w:sz w:val="21"/>
                <w:szCs w:val="21"/>
              </w:rPr>
              <w:t>纠正</w:t>
            </w:r>
          </w:p>
        </w:tc>
        <w:tc>
          <w:tcPr>
            <w:tcW w:w="60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其他</w:t>
            </w:r>
            <w:r>
              <w:rPr>
                <w:rFonts w:hint="eastAsia" w:ascii="华文中宋" w:hAnsi="华文中宋" w:eastAsia="华文中宋" w:cs="华文中宋"/>
                <w:color w:val="000000"/>
                <w:sz w:val="21"/>
                <w:szCs w:val="21"/>
              </w:rPr>
              <w:br w:type="textWrapping"/>
            </w:r>
            <w:r>
              <w:rPr>
                <w:rFonts w:hint="eastAsia" w:ascii="华文中宋" w:hAnsi="华文中宋" w:eastAsia="华文中宋" w:cs="华文中宋"/>
                <w:color w:val="000000"/>
                <w:sz w:val="21"/>
                <w:szCs w:val="21"/>
              </w:rPr>
              <w:t>结果</w:t>
            </w:r>
          </w:p>
        </w:tc>
        <w:tc>
          <w:tcPr>
            <w:tcW w:w="604"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尚未</w:t>
            </w:r>
            <w:r>
              <w:rPr>
                <w:rFonts w:hint="eastAsia" w:ascii="华文中宋" w:hAnsi="华文中宋" w:eastAsia="华文中宋" w:cs="华文中宋"/>
                <w:color w:val="000000"/>
                <w:sz w:val="21"/>
                <w:szCs w:val="21"/>
              </w:rPr>
              <w:br w:type="textWrapping"/>
            </w:r>
            <w:r>
              <w:rPr>
                <w:rFonts w:hint="eastAsia" w:ascii="华文中宋" w:hAnsi="华文中宋" w:eastAsia="华文中宋" w:cs="华文中宋"/>
                <w:color w:val="000000"/>
                <w:sz w:val="21"/>
                <w:szCs w:val="21"/>
              </w:rPr>
              <w:t>审结</w:t>
            </w:r>
          </w:p>
        </w:tc>
        <w:tc>
          <w:tcPr>
            <w:tcW w:w="604" w:type="dxa"/>
            <w:tcBorders>
              <w:top w:val="single" w:color="auto" w:sz="8" w:space="0"/>
              <w:left w:val="nil"/>
              <w:bottom w:val="single" w:color="auto" w:sz="8"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eastAsia" w:ascii="华文中宋" w:hAnsi="华文中宋" w:eastAsia="华文中宋" w:cs="华文中宋"/>
                <w:color w:val="000000"/>
                <w:sz w:val="21"/>
                <w:szCs w:val="21"/>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cantSplit/>
          <w:trHeight w:val="849" w:hRule="atLeast"/>
        </w:trPr>
        <w:tc>
          <w:tcPr>
            <w:tcW w:w="604" w:type="dxa"/>
            <w:tcBorders>
              <w:top w:val="nil"/>
              <w:left w:val="single" w:color="auto" w:sz="12" w:space="0"/>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c>
          <w:tcPr>
            <w:tcW w:w="604" w:type="dxa"/>
            <w:tcBorders>
              <w:top w:val="nil"/>
              <w:left w:val="nil"/>
              <w:bottom w:val="single" w:color="auto" w:sz="12" w:space="0"/>
              <w:right w:val="single" w:color="auto" w:sz="12"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default" w:ascii="Times New Roman" w:hAnsi="Times New Roman" w:cs="Times New Roman"/>
                <w:sz w:val="21"/>
                <w:szCs w:val="21"/>
              </w:rPr>
            </w:pPr>
            <w:r>
              <w:rPr>
                <w:rFonts w:hint="default" w:ascii="Times New Roman" w:hAnsi="Times New Roman" w:eastAsia="华文中宋" w:cs="Times New Roman"/>
                <w:color w:val="000000"/>
                <w:sz w:val="21"/>
                <w:szCs w:val="21"/>
              </w:rPr>
              <w:t>0</w:t>
            </w:r>
          </w:p>
        </w:tc>
      </w:tr>
    </w:tbl>
    <w:p>
      <w:pPr>
        <w:pStyle w:val="2"/>
        <w:keepNext w:val="0"/>
        <w:keepLines w:val="0"/>
        <w:widowControl/>
        <w:suppressLineNumbers w:val="0"/>
        <w:autoSpaceDE w:val="0"/>
        <w:autoSpaceDN/>
        <w:spacing w:after="0" w:afterAutospacing="0" w:line="576" w:lineRule="atLeast"/>
        <w:ind w:left="0" w:firstLine="640"/>
        <w:jc w:val="both"/>
        <w:rPr>
          <w:rFonts w:hint="eastAsia" w:ascii="仿宋" w:hAnsi="仿宋" w:eastAsia="仿宋" w:cs="仿宋"/>
          <w:sz w:val="32"/>
          <w:szCs w:val="32"/>
        </w:rPr>
      </w:pPr>
      <w:r>
        <w:rPr>
          <w:rFonts w:hint="eastAsia" w:ascii="黑体" w:hAnsi="宋体" w:eastAsia="黑体" w:cs="黑体"/>
          <w:sz w:val="32"/>
          <w:szCs w:val="32"/>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76" w:lineRule="atLeast"/>
        <w:ind w:left="0" w:right="0" w:firstLine="640"/>
        <w:jc w:val="left"/>
        <w:rPr>
          <w:rFonts w:hint="default" w:ascii="Times New Roman" w:hAnsi="Times New Roman" w:cs="Times New Roman"/>
          <w:sz w:val="21"/>
          <w:szCs w:val="21"/>
        </w:rPr>
      </w:pPr>
      <w:r>
        <w:rPr>
          <w:rFonts w:hint="eastAsia" w:ascii="仿宋" w:hAnsi="仿宋" w:eastAsia="仿宋" w:cs="仿宋"/>
          <w:sz w:val="32"/>
          <w:szCs w:val="32"/>
          <w:bdr w:val="none" w:color="auto" w:sz="0" w:space="0"/>
          <w:shd w:val="clear" w:fill="FFFFFF"/>
        </w:rPr>
        <w:t>我局</w:t>
      </w:r>
      <w:r>
        <w:rPr>
          <w:rFonts w:hint="default" w:ascii="Times New Roman" w:hAnsi="Times New Roman" w:cs="Times New Roman"/>
          <w:sz w:val="32"/>
          <w:szCs w:val="32"/>
          <w:bdr w:val="none" w:color="auto" w:sz="0" w:space="0"/>
          <w:shd w:val="clear" w:fill="FFFFFF"/>
        </w:rPr>
        <w:t>202</w:t>
      </w:r>
      <w:r>
        <w:rPr>
          <w:rFonts w:hint="default" w:ascii="Times New Roman" w:hAnsi="Times New Roman" w:eastAsia="仿宋" w:cs="Times New Roman"/>
          <w:sz w:val="32"/>
          <w:szCs w:val="32"/>
          <w:bdr w:val="none" w:color="auto" w:sz="0" w:space="0"/>
          <w:shd w:val="clear" w:fill="FFFFFF"/>
        </w:rPr>
        <w:t>2</w:t>
      </w:r>
      <w:r>
        <w:rPr>
          <w:rFonts w:hint="eastAsia" w:ascii="仿宋" w:hAnsi="仿宋" w:eastAsia="仿宋" w:cs="仿宋"/>
          <w:sz w:val="32"/>
          <w:szCs w:val="32"/>
          <w:bdr w:val="none" w:color="auto" w:sz="0" w:space="0"/>
          <w:shd w:val="clear" w:fill="FFFFFF"/>
        </w:rPr>
        <w:t>年度政务公开存在的问题及改进情况主要有：一是月度测评反馈问题整改质量还需进一步提升。二是部门科室主动公开意识不强，配合能力也有待进一步提高。针对这一情况，一是对部门公开网站及政府部门栏目经常性的开展检查，发现问题主动及时整改，努力提高信息质量。二是加强政务公开领域相关文件学习，强化部门协作，进一步提高业务科室主动公开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76" w:lineRule="atLeast"/>
        <w:ind w:left="0" w:right="0" w:firstLine="640"/>
        <w:jc w:val="left"/>
        <w:rPr>
          <w:rFonts w:hint="default" w:ascii="Times New Roman" w:hAnsi="Times New Roman" w:cs="Times New Roman"/>
          <w:sz w:val="21"/>
          <w:szCs w:val="21"/>
        </w:rPr>
      </w:pPr>
      <w:r>
        <w:rPr>
          <w:rFonts w:hint="eastAsia" w:ascii="仿宋" w:hAnsi="仿宋" w:eastAsia="仿宋" w:cs="仿宋"/>
          <w:sz w:val="32"/>
          <w:szCs w:val="32"/>
          <w:bdr w:val="none" w:color="auto" w:sz="0" w:space="0"/>
          <w:shd w:val="clear" w:fill="FFFFFF"/>
        </w:rPr>
        <w:t>我局政府信息公开工作仍存在的主要问题：一是单位主动公开意识不足。二是公开手段不够丰富，主要依赖政府门户网站，其他途径公开内容较少。针对这些问题，我局将从以下几个方面加以改进：</w:t>
      </w:r>
    </w:p>
    <w:p>
      <w:pPr>
        <w:pStyle w:val="2"/>
        <w:keepNext w:val="0"/>
        <w:keepLines w:val="0"/>
        <w:widowControl/>
        <w:suppressLineNumbers w:val="0"/>
        <w:autoSpaceDE w:val="0"/>
        <w:autoSpaceDN/>
        <w:spacing w:after="0" w:afterAutospacing="0" w:line="576" w:lineRule="atLeast"/>
        <w:ind w:left="0" w:firstLine="640"/>
        <w:jc w:val="both"/>
        <w:rPr>
          <w:rFonts w:hint="eastAsia" w:ascii="仿宋" w:hAnsi="仿宋" w:eastAsia="仿宋" w:cs="仿宋"/>
          <w:sz w:val="32"/>
          <w:szCs w:val="32"/>
        </w:rPr>
      </w:pPr>
      <w:r>
        <w:rPr>
          <w:rFonts w:hint="eastAsia" w:ascii="仿宋" w:hAnsi="仿宋" w:eastAsia="仿宋" w:cs="仿宋"/>
          <w:i w:val="0"/>
          <w:iCs w:val="0"/>
          <w:caps w:val="0"/>
          <w:color w:val="000000"/>
          <w:spacing w:val="0"/>
          <w:sz w:val="32"/>
          <w:szCs w:val="32"/>
          <w:shd w:val="clear" w:fill="FFFFFF"/>
        </w:rPr>
        <w:t>一是细化分解公开任务，将责任压实到分管领导、责任科室。二是丰富公开方式，充分利用工业企业微信群、科技馆等平台，广泛宣传涉企惠民政策，增强群众获得感、满意度。</w:t>
      </w:r>
    </w:p>
    <w:p>
      <w:pPr>
        <w:pStyle w:val="2"/>
        <w:keepNext w:val="0"/>
        <w:keepLines w:val="0"/>
        <w:widowControl/>
        <w:suppressLineNumbers w:val="0"/>
        <w:autoSpaceDE w:val="0"/>
        <w:autoSpaceDN/>
        <w:spacing w:after="0" w:afterAutospacing="0" w:line="576" w:lineRule="atLeast"/>
        <w:ind w:left="0" w:firstLine="640"/>
        <w:jc w:val="both"/>
        <w:rPr>
          <w:rFonts w:hint="eastAsia" w:ascii="仿宋" w:hAnsi="仿宋" w:eastAsia="仿宋" w:cs="仿宋"/>
          <w:sz w:val="32"/>
          <w:szCs w:val="32"/>
        </w:rPr>
      </w:pPr>
      <w:r>
        <w:rPr>
          <w:rFonts w:hint="eastAsia" w:ascii="黑体" w:hAnsi="宋体" w:eastAsia="黑体" w:cs="黑体"/>
          <w:sz w:val="32"/>
          <w:szCs w:val="32"/>
        </w:rPr>
        <w:t>六、其他需要报告的事项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autoSpaceDE w:val="0"/>
        <w:autoSpaceDN/>
        <w:spacing w:before="0" w:beforeAutospacing="0" w:after="0" w:afterAutospacing="0" w:line="576" w:lineRule="atLeast"/>
        <w:ind w:left="0" w:right="0" w:firstLine="640"/>
        <w:jc w:val="left"/>
        <w:rPr>
          <w:rFonts w:hint="default" w:ascii="Times New Roman" w:hAnsi="Times New Roman" w:cs="Times New Roman"/>
          <w:sz w:val="21"/>
          <w:szCs w:val="21"/>
        </w:rPr>
      </w:pPr>
      <w:r>
        <w:rPr>
          <w:rFonts w:hint="eastAsia" w:ascii="仿宋" w:hAnsi="仿宋" w:eastAsia="仿宋" w:cs="仿宋"/>
          <w:sz w:val="32"/>
          <w:szCs w:val="32"/>
          <w:bdr w:val="none" w:color="auto" w:sz="0" w:space="0"/>
          <w:shd w:val="clear" w:fill="FFFFFF"/>
        </w:rPr>
        <w:t>按照《国务院办公厅关于印发〈政府信息公开信息处理费管理办法〉的通知》（国办函〔</w:t>
      </w:r>
      <w:r>
        <w:rPr>
          <w:rFonts w:hint="default" w:ascii="Times New Roman" w:hAnsi="Times New Roman" w:cs="Times New Roman"/>
          <w:sz w:val="32"/>
          <w:szCs w:val="32"/>
          <w:bdr w:val="none" w:color="auto" w:sz="0" w:space="0"/>
          <w:shd w:val="clear" w:fill="FFFFFF"/>
        </w:rPr>
        <w:t>2020</w:t>
      </w:r>
      <w:r>
        <w:rPr>
          <w:rFonts w:hint="eastAsia" w:ascii="仿宋" w:hAnsi="仿宋" w:eastAsia="仿宋" w:cs="仿宋"/>
          <w:sz w:val="32"/>
          <w:szCs w:val="32"/>
          <w:bdr w:val="none" w:color="auto" w:sz="0" w:space="0"/>
          <w:shd w:val="clear" w:fill="FFFFFF"/>
        </w:rPr>
        <w:t>〕</w:t>
      </w:r>
      <w:r>
        <w:rPr>
          <w:rFonts w:hint="default" w:ascii="Times New Roman" w:hAnsi="Times New Roman" w:cs="Times New Roman"/>
          <w:sz w:val="32"/>
          <w:szCs w:val="32"/>
          <w:bdr w:val="none" w:color="auto" w:sz="0" w:space="0"/>
          <w:shd w:val="clear" w:fill="FFFFFF"/>
        </w:rPr>
        <w:t>109</w:t>
      </w:r>
      <w:r>
        <w:rPr>
          <w:rFonts w:hint="eastAsia" w:ascii="仿宋" w:hAnsi="仿宋" w:eastAsia="仿宋" w:cs="仿宋"/>
          <w:sz w:val="32"/>
          <w:szCs w:val="32"/>
          <w:bdr w:val="none" w:color="auto" w:sz="0" w:space="0"/>
          <w:shd w:val="clear" w:fill="FFFFFF"/>
        </w:rPr>
        <w:t>号）规定的按件、按量收费标准，本年度没有产生信息公开处理费。</w:t>
      </w:r>
    </w:p>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ind w:left="0" w:right="0"/>
        <w:jc w:val="both"/>
        <w:rPr>
          <w:rFonts w:hint="default" w:ascii="Times New Roman" w:hAnsi="Times New Roman" w:cs="Times New Roman"/>
          <w:sz w:val="21"/>
          <w:szCs w:val="21"/>
        </w:rPr>
      </w:pPr>
      <w:r>
        <w:rPr>
          <w:rFonts w:hint="default" w:ascii="Times New Roman" w:hAnsi="Times New Roman" w:cs="Times New Roman"/>
          <w:sz w:val="21"/>
          <w:szCs w:val="21"/>
        </w:rPr>
        <w:t> </w:t>
      </w:r>
    </w:p>
    <w:p>
      <w:pPr>
        <w:pStyle w:val="2"/>
        <w:keepNext w:val="0"/>
        <w:keepLines w:val="0"/>
        <w:widowControl/>
        <w:suppressLineNumbers w:val="0"/>
        <w:spacing w:before="0" w:beforeAutospacing="0" w:after="0" w:afterAutospacing="0"/>
        <w:ind w:left="0" w:right="0"/>
        <w:jc w:val="left"/>
        <w:rPr>
          <w:rFonts w:hint="default" w:ascii="Times New Roman" w:hAnsi="Times New Roman" w:cs="Times New Roman"/>
          <w:sz w:val="21"/>
          <w:szCs w:val="21"/>
        </w:rPr>
      </w:pPr>
      <w:r>
        <w:rPr>
          <w:rFonts w:hint="eastAsia" w:ascii="仿宋" w:hAnsi="仿宋" w:eastAsia="仿宋" w:cs="仿宋"/>
          <w:sz w:val="21"/>
          <w:szCs w:val="21"/>
        </w:rPr>
        <w:t>                                       </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  </w:t>
      </w:r>
      <w:r>
        <w:rPr>
          <w:rFonts w:hint="eastAsia" w:ascii="仿宋" w:hAnsi="仿宋" w:eastAsia="仿宋" w:cs="仿宋"/>
          <w:sz w:val="32"/>
          <w:szCs w:val="32"/>
        </w:rPr>
        <w:t>六安市叶集区科技经济信息化局</w:t>
      </w:r>
    </w:p>
    <w:p>
      <w:pPr>
        <w:pStyle w:val="2"/>
        <w:keepNext w:val="0"/>
        <w:keepLines w:val="0"/>
        <w:widowControl/>
        <w:suppressLineNumbers w:val="0"/>
        <w:spacing w:before="0" w:beforeAutospacing="0" w:after="0" w:afterAutospacing="0"/>
        <w:ind w:right="0" w:firstLine="4800" w:firstLineChars="1500"/>
        <w:jc w:val="left"/>
        <w:rPr>
          <w:rFonts w:hint="default" w:ascii="Times New Roman" w:hAnsi="Times New Roman" w:cs="Times New Roman"/>
          <w:sz w:val="21"/>
          <w:szCs w:val="21"/>
        </w:rPr>
      </w:pPr>
      <w:r>
        <w:rPr>
          <w:rFonts w:hint="default" w:ascii="Times New Roman" w:hAnsi="Times New Roman" w:eastAsia="仿宋" w:cs="Times New Roman"/>
          <w:sz w:val="32"/>
          <w:szCs w:val="32"/>
        </w:rPr>
        <w:t>2023</w:t>
      </w:r>
      <w:r>
        <w:rPr>
          <w:rFonts w:hint="eastAsia" w:ascii="仿宋" w:hAnsi="仿宋" w:eastAsia="仿宋" w:cs="仿宋"/>
          <w:sz w:val="32"/>
          <w:szCs w:val="32"/>
        </w:rPr>
        <w:t>年</w:t>
      </w:r>
      <w:r>
        <w:rPr>
          <w:rFonts w:hint="default" w:ascii="Times New Roman" w:hAnsi="Times New Roman" w:eastAsia="仿宋" w:cs="Times New Roman"/>
          <w:sz w:val="32"/>
          <w:szCs w:val="32"/>
        </w:rPr>
        <w:t>1</w:t>
      </w:r>
      <w:r>
        <w:rPr>
          <w:rFonts w:hint="eastAsia" w:ascii="仿宋" w:hAnsi="仿宋" w:eastAsia="仿宋" w:cs="仿宋"/>
          <w:sz w:val="32"/>
          <w:szCs w:val="32"/>
        </w:rPr>
        <w:t>月</w:t>
      </w:r>
      <w:r>
        <w:rPr>
          <w:rFonts w:hint="default" w:ascii="Times New Roman" w:hAnsi="Times New Roman" w:eastAsia="仿宋" w:cs="Times New Roman"/>
          <w:sz w:val="32"/>
          <w:szCs w:val="32"/>
        </w:rPr>
        <w:t>16</w:t>
      </w:r>
      <w:r>
        <w:rPr>
          <w:rFonts w:hint="eastAsia" w:ascii="仿宋" w:hAnsi="仿宋" w:eastAsia="仿宋" w:cs="仿宋"/>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Y5Njk5MGUzZWNkNDFiNzc5NDkzYzUwMDE0ZDIyNjMifQ=="/>
  </w:docVars>
  <w:rsids>
    <w:rsidRoot w:val="00000000"/>
    <w:rsid w:val="25BE3F3F"/>
    <w:rsid w:val="2C851BF6"/>
    <w:rsid w:val="370F5FD1"/>
    <w:rsid w:val="4D07737E"/>
    <w:rsid w:val="6FD4252B"/>
    <w:rsid w:val="7DFA3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2022-10-21T08:48:00Z</dcterms:created>
  <dc:creator>Administrator</dc:creator>
  <cp:lastModifiedBy>无言独忧</cp:lastModifiedBy>
  <dcterms:modified xsi:type="dcterms:W3CDTF">2024-02-21T00:38:01Z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68F6B79AA675423AA30740F88A976A65_13</vt:lpwstr>
  </property>
</Properties>
</file>