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jc w:val="cente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rPr>
        <w:t>六安市叶集区住房和城乡建设局2022年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jc w:val="cente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ascii="仿宋_GB2312" w:hAnsi="微软雅黑" w:eastAsia="仿宋_GB2312" w:cs="仿宋_GB2312"/>
          <w:i w:val="0"/>
          <w:iCs w:val="0"/>
          <w:caps w:val="0"/>
          <w:color w:val="000000"/>
          <w:spacing w:val="0"/>
          <w:kern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pPr>
      <w:r>
        <w:rPr>
          <w:rFonts w:ascii="仿宋_GB2312" w:hAnsi="微软雅黑" w:eastAsia="仿宋_GB2312" w:cs="仿宋_GB2312"/>
          <w:i w:val="0"/>
          <w:iCs w:val="0"/>
          <w:caps w:val="0"/>
          <w:color w:val="000000"/>
          <w:spacing w:val="0"/>
          <w:kern w:val="0"/>
          <w:sz w:val="28"/>
          <w:szCs w:val="28"/>
          <w:bdr w:val="none" w:color="auto" w:sz="0" w:space="0"/>
          <w:shd w:val="clear" w:fill="FFFFFF"/>
        </w:rPr>
        <w:t>本报告根据《中华人民共和国政府信息公开条例》（国务院令第</w:t>
      </w:r>
      <w:r>
        <w:rPr>
          <w:rFonts w:hint="eastAsia" w:ascii="仿宋_GB2312" w:hAnsi="微软雅黑" w:eastAsia="仿宋_GB2312" w:cs="仿宋_GB2312"/>
          <w:i w:val="0"/>
          <w:iCs w:val="0"/>
          <w:caps w:val="0"/>
          <w:color w:val="000000"/>
          <w:spacing w:val="0"/>
          <w:kern w:val="0"/>
          <w:sz w:val="28"/>
          <w:szCs w:val="28"/>
          <w:bdr w:val="none" w:color="auto" w:sz="0" w:space="0"/>
          <w:shd w:val="clear" w:fill="FFFFFF"/>
        </w:rPr>
        <w:t>711号，以下简称新《条例》）及省市有关文件要求，编制2022年度叶集区住建局信息公开年度报告。报告主要包括：总体情况、行政机关主动公开政府信息情况、收到和处理政府信息公开申请情况、政府信息公开行政复议情况、行政诉讼情况、政府信息公开工作存在的主要问题及改进情况和其他需要报告的事项。本年度报告中使用数据统计期限为2022年1月1日至2022年12月31日，本年度报告电子版可在叶集区住建局信息公开平台下载（</w:t>
      </w:r>
      <w:r>
        <w:rPr>
          <w:rFonts w:hint="eastAsia" w:ascii="仿宋_GB2312" w:hAnsi="微软雅黑" w:eastAsia="仿宋_GB2312" w:cs="仿宋_GB2312"/>
          <w:i w:val="0"/>
          <w:iCs w:val="0"/>
          <w:caps w:val="0"/>
          <w:spacing w:val="0"/>
          <w:kern w:val="0"/>
          <w:sz w:val="28"/>
          <w:szCs w:val="28"/>
          <w:bdr w:val="none" w:color="auto" w:sz="0" w:space="0"/>
          <w:shd w:val="clear" w:fill="FFFFFF"/>
        </w:rPr>
        <w:fldChar w:fldCharType="begin"/>
      </w:r>
      <w:r>
        <w:rPr>
          <w:rFonts w:hint="eastAsia" w:ascii="仿宋_GB2312" w:hAnsi="微软雅黑" w:eastAsia="仿宋_GB2312" w:cs="仿宋_GB2312"/>
          <w:i w:val="0"/>
          <w:iCs w:val="0"/>
          <w:caps w:val="0"/>
          <w:spacing w:val="0"/>
          <w:kern w:val="0"/>
          <w:sz w:val="28"/>
          <w:szCs w:val="28"/>
          <w:bdr w:val="none" w:color="auto" w:sz="0" w:space="0"/>
          <w:shd w:val="clear" w:fill="FFFFFF"/>
        </w:rPr>
        <w:instrText xml:space="preserve"> HYPERLINK "https://www.ahyeji.gov.cn/public/content/24866835" </w:instrText>
      </w:r>
      <w:r>
        <w:rPr>
          <w:rFonts w:hint="eastAsia" w:ascii="仿宋_GB2312" w:hAnsi="微软雅黑" w:eastAsia="仿宋_GB2312" w:cs="仿宋_GB2312"/>
          <w:i w:val="0"/>
          <w:iCs w:val="0"/>
          <w:caps w:val="0"/>
          <w:spacing w:val="0"/>
          <w:kern w:val="0"/>
          <w:sz w:val="28"/>
          <w:szCs w:val="28"/>
          <w:bdr w:val="none" w:color="auto" w:sz="0" w:space="0"/>
          <w:shd w:val="clear" w:fill="FFFFFF"/>
        </w:rPr>
        <w:fldChar w:fldCharType="separate"/>
      </w:r>
      <w:r>
        <w:rPr>
          <w:rStyle w:val="5"/>
          <w:rFonts w:hint="eastAsia" w:ascii="仿宋_GB2312" w:hAnsi="微软雅黑" w:eastAsia="仿宋_GB2312" w:cs="仿宋_GB2312"/>
          <w:i w:val="0"/>
          <w:iCs w:val="0"/>
          <w:caps w:val="0"/>
          <w:spacing w:val="0"/>
          <w:kern w:val="0"/>
          <w:sz w:val="28"/>
          <w:szCs w:val="28"/>
          <w:bdr w:val="none" w:color="auto" w:sz="0" w:space="0"/>
          <w:shd w:val="clear" w:fill="FFFFFF"/>
        </w:rPr>
        <w:t>https://www.ahyeji.gov.cn/public/content/24866835</w:t>
      </w:r>
      <w:r>
        <w:rPr>
          <w:rFonts w:hint="eastAsia" w:ascii="仿宋_GB2312" w:hAnsi="微软雅黑" w:eastAsia="仿宋_GB2312" w:cs="仿宋_GB2312"/>
          <w:i w:val="0"/>
          <w:iCs w:val="0"/>
          <w:caps w:val="0"/>
          <w:spacing w:val="0"/>
          <w:kern w:val="0"/>
          <w:sz w:val="28"/>
          <w:szCs w:val="28"/>
          <w:bdr w:val="none" w:color="auto" w:sz="0" w:space="0"/>
          <w:shd w:val="clear" w:fill="FFFFFF"/>
        </w:rPr>
        <w:fldChar w:fldCharType="end"/>
      </w:r>
      <w:r>
        <w:rPr>
          <w:rFonts w:hint="eastAsia" w:ascii="仿宋_GB2312" w:hAnsi="微软雅黑" w:eastAsia="仿宋_GB2312" w:cs="仿宋_GB2312"/>
          <w:i w:val="0"/>
          <w:iCs w:val="0"/>
          <w:caps w:val="0"/>
          <w:color w:val="000000"/>
          <w:spacing w:val="0"/>
          <w:kern w:val="0"/>
          <w:sz w:val="28"/>
          <w:szCs w:val="28"/>
          <w:bdr w:val="none" w:color="auto" w:sz="0" w:space="0"/>
          <w:shd w:val="clear" w:fill="FFFFFF"/>
        </w:rPr>
        <w:t>）。如对本报告有任何疑问，请与叶集区住建局联系（地址：叶集区民生路国土大楼五楼；邮编：237431；联系电话：0564-2770207）。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60"/>
        <w:jc w:val="both"/>
      </w:pPr>
      <w:r>
        <w:rPr>
          <w:rFonts w:ascii="黑体" w:hAnsi="宋体" w:eastAsia="黑体" w:cs="黑体"/>
          <w:i w:val="0"/>
          <w:iCs w:val="0"/>
          <w:caps w:val="0"/>
          <w:color w:val="000000"/>
          <w:spacing w:val="0"/>
          <w:kern w:val="0"/>
          <w:sz w:val="28"/>
          <w:szCs w:val="28"/>
          <w:bdr w:val="none" w:color="auto" w:sz="0" w:space="0"/>
          <w:shd w:val="clear" w:fill="FFFFFF"/>
        </w:rPr>
        <w:t>一、总体情况</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pPr>
      <w:r>
        <w:rPr>
          <w:rFonts w:hint="eastAsia" w:ascii="仿宋_GB2312" w:hAnsi="微软雅黑" w:eastAsia="仿宋_GB2312" w:cs="仿宋_GB2312"/>
          <w:i w:val="0"/>
          <w:iCs w:val="0"/>
          <w:caps w:val="0"/>
          <w:color w:val="000000"/>
          <w:spacing w:val="0"/>
          <w:kern w:val="0"/>
          <w:sz w:val="28"/>
          <w:szCs w:val="28"/>
          <w:bdr w:val="none" w:color="auto" w:sz="0" w:space="0"/>
          <w:shd w:val="clear" w:fill="FFFFFF"/>
        </w:rPr>
        <w:t>2022年，我局以习近平新时代中国特色社会主义思想为指导，坚持以人民为中心深化政务公开工作，严格按照国办、省市2022年政务公开工作要点，以公开促落实、促规范、促服务，努力保障人民群众对政府工作的知情权、参与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pPr>
      <w:r>
        <w:rPr>
          <w:rFonts w:hint="eastAsia" w:ascii="仿宋_GB2312" w:hAnsi="微软雅黑" w:eastAsia="仿宋_GB2312" w:cs="仿宋_GB2312"/>
          <w:i w:val="0"/>
          <w:iCs w:val="0"/>
          <w:caps w:val="0"/>
          <w:color w:val="000000"/>
          <w:spacing w:val="0"/>
          <w:kern w:val="0"/>
          <w:sz w:val="28"/>
          <w:szCs w:val="28"/>
          <w:bdr w:val="none" w:color="auto" w:sz="0" w:space="0"/>
          <w:shd w:val="clear" w:fill="FFFFFF"/>
        </w:rPr>
        <w:t>（一）主动公开情况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pPr>
      <w:r>
        <w:rPr>
          <w:rFonts w:hint="eastAsia" w:ascii="仿宋_GB2312" w:hAnsi="微软雅黑" w:eastAsia="仿宋_GB2312" w:cs="仿宋_GB2312"/>
          <w:i w:val="0"/>
          <w:iCs w:val="0"/>
          <w:caps w:val="0"/>
          <w:spacing w:val="0"/>
          <w:kern w:val="0"/>
          <w:sz w:val="28"/>
          <w:szCs w:val="28"/>
          <w:bdr w:val="none" w:color="auto" w:sz="0" w:space="0"/>
          <w:shd w:val="clear" w:fill="FFFFFF"/>
        </w:rPr>
        <w:t>贯彻落实全年政务公开重点任务，建设并维护区住建局政务公开网和区政府“两化”栏目，重点围绕住建领域、政策解读、项目建设以及做好基层政务公开标准化规范化等工作。2022年主动公开信息753条，其中，两化栏目268条，发布部门规范性文件1条，政策解读1篇，图片解读1篇，办理人大代表建议 1件、政协委员提案 1件，均已办结，行政权力运行36条，招标采购11条，监督保障33条，重点领域信息公开148条，国家基层试点成果推广运用122条。落实信息三审制度，上传政务资讯95条。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60"/>
        <w:jc w:val="both"/>
      </w:pPr>
      <w:r>
        <w:rPr>
          <w:rFonts w:hint="eastAsia" w:ascii="黑体" w:hAnsi="宋体" w:eastAsia="黑体" w:cs="黑体"/>
          <w:i w:val="0"/>
          <w:iCs w:val="0"/>
          <w:caps w:val="0"/>
          <w:color w:val="000000"/>
          <w:spacing w:val="0"/>
          <w:kern w:val="0"/>
          <w:sz w:val="28"/>
          <w:szCs w:val="28"/>
          <w:bdr w:val="none" w:color="auto" w:sz="0" w:space="0"/>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pPr>
      <w:r>
        <w:rPr>
          <w:rFonts w:hint="eastAsia" w:ascii="仿宋_GB2312" w:hAnsi="微软雅黑" w:eastAsia="仿宋_GB2312" w:cs="仿宋_GB2312"/>
          <w:i w:val="0"/>
          <w:iCs w:val="0"/>
          <w:caps w:val="0"/>
          <w:color w:val="000000"/>
          <w:spacing w:val="0"/>
          <w:kern w:val="0"/>
          <w:sz w:val="28"/>
          <w:szCs w:val="28"/>
          <w:bdr w:val="none" w:color="auto" w:sz="0" w:space="0"/>
          <w:shd w:val="clear" w:fill="FFFFFF"/>
        </w:rPr>
        <w:t>健全政府信息依申请公开工作制度，规范依申请公开登记、审核、办理、答复、归档等流程。全年收到依申请公开政府信息申请2条,并在当年全部处理完毕。</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pPr>
      <w:r>
        <w:rPr>
          <w:rFonts w:hint="eastAsia" w:ascii="黑体" w:hAnsi="宋体" w:eastAsia="黑体" w:cs="黑体"/>
          <w:i w:val="0"/>
          <w:iCs w:val="0"/>
          <w:caps w:val="0"/>
          <w:color w:val="000000"/>
          <w:spacing w:val="0"/>
          <w:kern w:val="0"/>
          <w:sz w:val="28"/>
          <w:szCs w:val="28"/>
          <w:bdr w:val="none" w:color="auto" w:sz="0" w:space="0"/>
          <w:shd w:val="clear" w:fill="FFFFFF"/>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pPr>
      <w:r>
        <w:rPr>
          <w:rFonts w:hint="eastAsia" w:ascii="仿宋_GB2312" w:hAnsi="微软雅黑" w:eastAsia="仿宋_GB2312" w:cs="仿宋_GB2312"/>
          <w:i w:val="0"/>
          <w:iCs w:val="0"/>
          <w:caps w:val="0"/>
          <w:color w:val="000000"/>
          <w:spacing w:val="0"/>
          <w:kern w:val="0"/>
          <w:sz w:val="28"/>
          <w:szCs w:val="28"/>
          <w:bdr w:val="none" w:color="auto" w:sz="0" w:space="0"/>
          <w:shd w:val="clear" w:fill="FFFFFF"/>
        </w:rPr>
        <w:t>严格落实信息公开审核制度，规范政府信息发布和管理，切实保障信息发布的全面性、准确性和规范性。切实加强领导，全面协调处理日常事务，严格落实一级抓一级、层层抓落实的工作机制。根据每月网站检测信息，及时整改并发布；</w:t>
      </w:r>
      <w:r>
        <w:rPr>
          <w:rFonts w:hint="eastAsia" w:ascii="仿宋_GB2312" w:eastAsia="仿宋_GB2312" w:cs="仿宋_GB2312"/>
          <w:i w:val="0"/>
          <w:iCs w:val="0"/>
          <w:caps w:val="0"/>
          <w:color w:val="000000"/>
          <w:spacing w:val="0"/>
          <w:kern w:val="0"/>
          <w:sz w:val="28"/>
          <w:szCs w:val="28"/>
          <w:bdr w:val="none" w:color="auto" w:sz="0" w:space="0"/>
          <w:shd w:val="clear" w:fill="FFFFFF"/>
        </w:rPr>
        <w:t>根据上级部门工作要求，针对</w:t>
      </w:r>
      <w:r>
        <w:rPr>
          <w:rFonts w:hint="eastAsia" w:ascii="仿宋_GB2312" w:hAnsi="微软雅黑" w:eastAsia="仿宋_GB2312" w:cs="仿宋_GB2312"/>
          <w:i w:val="0"/>
          <w:iCs w:val="0"/>
          <w:caps w:val="0"/>
          <w:color w:val="000000"/>
          <w:spacing w:val="0"/>
          <w:kern w:val="0"/>
          <w:sz w:val="28"/>
          <w:szCs w:val="28"/>
          <w:bdr w:val="none" w:color="auto" w:sz="0" w:space="0"/>
          <w:shd w:val="clear" w:fill="FFFFFF"/>
        </w:rPr>
        <w:t>网站个人隐私信息359条及错别字敏感信息43条等进行整改，已整改完成。</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pPr>
      <w:r>
        <w:rPr>
          <w:rFonts w:hint="eastAsia" w:ascii="黑体" w:hAnsi="宋体" w:eastAsia="黑体" w:cs="黑体"/>
          <w:i w:val="0"/>
          <w:iCs w:val="0"/>
          <w:caps w:val="0"/>
          <w:color w:val="000000"/>
          <w:spacing w:val="0"/>
          <w:kern w:val="0"/>
          <w:sz w:val="28"/>
          <w:szCs w:val="28"/>
          <w:bdr w:val="none" w:color="auto" w:sz="0" w:space="0"/>
          <w:shd w:val="clear" w:fill="FFFFFF"/>
        </w:rPr>
        <w:t>（四） 政府信息公开平台建设情况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pPr>
      <w:r>
        <w:rPr>
          <w:rFonts w:hint="eastAsia" w:ascii="仿宋_GB2312" w:eastAsia="仿宋_GB2312" w:cs="仿宋_GB2312"/>
          <w:i w:val="0"/>
          <w:iCs w:val="0"/>
          <w:caps w:val="0"/>
          <w:color w:val="000000"/>
          <w:spacing w:val="0"/>
          <w:kern w:val="0"/>
          <w:sz w:val="28"/>
          <w:szCs w:val="28"/>
          <w:bdr w:val="none" w:color="auto" w:sz="0" w:space="0"/>
          <w:shd w:val="clear" w:fill="FFFFFF"/>
        </w:rPr>
        <w:t>一是安排专人负责政府信息公开网站的日常维护、更新；</w:t>
      </w:r>
      <w:r>
        <w:rPr>
          <w:rFonts w:hint="eastAsia" w:ascii="仿宋_GB2312" w:eastAsia="仿宋_GB2312" w:cs="仿宋_GB2312"/>
          <w:i w:val="0"/>
          <w:iCs w:val="0"/>
          <w:caps w:val="0"/>
          <w:spacing w:val="0"/>
          <w:kern w:val="0"/>
          <w:sz w:val="28"/>
          <w:szCs w:val="28"/>
          <w:bdr w:val="none" w:color="auto" w:sz="0" w:space="0"/>
          <w:shd w:val="clear" w:fill="FFFFFF"/>
        </w:rPr>
        <w:t>二是及时更新政府网站信息公开目录，在信息公开专题专栏-重大建设项目批准与实施里新增监委业务用房改造项目并对接相关股室梳理工程进展情况信息，及时上传。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pPr>
      <w:r>
        <w:rPr>
          <w:rFonts w:hint="eastAsia" w:ascii="黑体" w:hAnsi="宋体" w:eastAsia="黑体" w:cs="黑体"/>
          <w:i w:val="0"/>
          <w:iCs w:val="0"/>
          <w:caps w:val="0"/>
          <w:color w:val="000000"/>
          <w:spacing w:val="0"/>
          <w:kern w:val="0"/>
          <w:sz w:val="28"/>
          <w:szCs w:val="28"/>
          <w:bdr w:val="none" w:color="auto" w:sz="0" w:space="0"/>
          <w:shd w:val="clear" w:fill="FFFFFF"/>
        </w:rPr>
        <w:t>（五）监督保障</w:t>
      </w:r>
    </w:p>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i w:val="0"/>
          <w:iCs w:val="0"/>
          <w:caps w:val="0"/>
          <w:color w:val="000000"/>
          <w:spacing w:val="0"/>
          <w:kern w:val="0"/>
          <w:sz w:val="28"/>
          <w:szCs w:val="28"/>
          <w:shd w:val="clear" w:fill="FFFFFF"/>
          <w:lang w:val="en-US" w:eastAsia="zh-CN" w:bidi="ar"/>
        </w:rPr>
        <w:t>我局加强政务信息公开工作自查，及时完成整改工作，不断提升政府信息公开工作水平和质量，积极参加区政府组织的培训与集中办公，</w:t>
      </w:r>
      <w:r>
        <w:rPr>
          <w:rFonts w:hint="eastAsia" w:ascii="仿宋_GB2312" w:eastAsia="仿宋_GB2312" w:cs="仿宋_GB2312" w:hAnsiTheme="minorHAnsi"/>
          <w:i w:val="0"/>
          <w:iCs w:val="0"/>
          <w:caps w:val="0"/>
          <w:spacing w:val="0"/>
          <w:kern w:val="0"/>
          <w:sz w:val="28"/>
          <w:szCs w:val="28"/>
          <w:shd w:val="clear" w:fill="FFFFFF"/>
          <w:lang w:val="en-US" w:eastAsia="zh-CN" w:bidi="ar"/>
        </w:rPr>
        <w:t>对上级测评</w:t>
      </w:r>
      <w:r>
        <w:rPr>
          <w:rFonts w:hint="eastAsia" w:ascii="仿宋_GB2312" w:eastAsia="仿宋_GB2312" w:cs="仿宋_GB2312" w:hAnsiTheme="minorHAnsi"/>
          <w:i w:val="0"/>
          <w:iCs w:val="0"/>
          <w:caps w:val="0"/>
          <w:color w:val="000000"/>
          <w:spacing w:val="0"/>
          <w:kern w:val="0"/>
          <w:sz w:val="28"/>
          <w:szCs w:val="28"/>
          <w:shd w:val="clear" w:fill="FFFFFF"/>
          <w:lang w:val="en-US" w:eastAsia="zh-CN" w:bidi="ar"/>
        </w:rPr>
        <w:t>指出的问题，均按要求及时整改到位，主动接受社会监督。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b/>
          <w:bCs/>
          <w:i w:val="0"/>
          <w:iCs w:val="0"/>
          <w:caps w:val="0"/>
          <w:color w:val="333333"/>
          <w:spacing w:val="0"/>
          <w:kern w:val="0"/>
          <w:sz w:val="24"/>
          <w:szCs w:val="24"/>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i w:val="0"/>
          <w:iCs w:val="0"/>
          <w:caps w:val="0"/>
          <w:color w:val="333333"/>
          <w:spacing w:val="0"/>
          <w:kern w:val="0"/>
          <w:sz w:val="24"/>
          <w:szCs w:val="24"/>
          <w:bdr w:val="none" w:color="auto" w:sz="0" w:space="0"/>
          <w:shd w:val="clear" w:fill="FFFFFF"/>
        </w:rPr>
        <w:t xml:space="preserve"> </w:t>
      </w:r>
    </w:p>
    <w:tbl>
      <w:tblPr>
        <w:tblW w:w="94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414"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w:t>
            </w:r>
            <w:r>
              <w:rPr>
                <w:rFonts w:hint="eastAsia" w:ascii="宋体" w:hAnsi="宋体" w:eastAsia="宋体" w:cs="宋体"/>
                <w:kern w:val="0"/>
                <w:sz w:val="20"/>
                <w:szCs w:val="20"/>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本年废止件数</w:t>
            </w:r>
          </w:p>
        </w:tc>
        <w:tc>
          <w:tcPr>
            <w:tcW w:w="2109"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现行有效件</w:t>
            </w:r>
            <w:r>
              <w:rPr>
                <w:rFonts w:hint="eastAsia" w:ascii="宋体" w:hAnsi="宋体" w:eastAsia="宋体" w:cs="宋体"/>
                <w:kern w:val="0"/>
                <w:sz w:val="20"/>
                <w:szCs w:val="20"/>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c>
          <w:tcPr>
            <w:tcW w:w="210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ascii="Calibri" w:hAnsi="Calibri" w:eastAsia="宋体" w:cs="Calibri"/>
                <w:kern w:val="0"/>
                <w:sz w:val="21"/>
                <w:szCs w:val="21"/>
                <w:bdr w:val="none" w:color="auto" w:sz="0" w:space="0"/>
                <w:lang w:val="en-US" w:eastAsia="zh-CN" w:bidi="ar"/>
              </w:rPr>
              <w:t> </w:t>
            </w:r>
            <w:r>
              <w:rPr>
                <w:rFonts w:hint="default" w:ascii="Calibri" w:hAnsi="Calibri" w:eastAsia="宋体" w:cs="Calibri"/>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1</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c>
          <w:tcPr>
            <w:tcW w:w="210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1"/>
                <w:szCs w:val="21"/>
                <w:bdr w:val="none" w:color="auto" w:sz="0" w:space="0"/>
                <w:lang w:val="en-US" w:eastAsia="zh-CN" w:bidi="ar"/>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414"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6979"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行政许可</w:t>
            </w:r>
          </w:p>
        </w:tc>
        <w:tc>
          <w:tcPr>
            <w:tcW w:w="6979"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1"/>
                <w:szCs w:val="21"/>
                <w:bdr w:val="none" w:color="auto" w:sz="0" w:space="0"/>
                <w:lang w:val="en-US" w:eastAsia="zh-CN" w:bidi="ar"/>
              </w:rPr>
              <w:t> 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414"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6979"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行政处罚</w:t>
            </w:r>
          </w:p>
        </w:tc>
        <w:tc>
          <w:tcPr>
            <w:tcW w:w="6979"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行政强制</w:t>
            </w:r>
          </w:p>
        </w:tc>
        <w:tc>
          <w:tcPr>
            <w:tcW w:w="6979"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414"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6979"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行政事业性收费</w:t>
            </w:r>
          </w:p>
        </w:tc>
        <w:tc>
          <w:tcPr>
            <w:tcW w:w="6979"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4"/>
                <w:szCs w:val="24"/>
                <w:bdr w:val="none" w:color="auto" w:sz="0" w:space="0"/>
                <w:lang w:val="en-US" w:eastAsia="zh-CN" w:bidi="ar"/>
              </w:rPr>
              <w:t>2168.613</w:t>
            </w:r>
          </w:p>
        </w:tc>
      </w:tr>
    </w:tbl>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b/>
          <w:bCs/>
          <w:i w:val="0"/>
          <w:iCs w:val="0"/>
          <w:caps w:val="0"/>
          <w:color w:val="333333"/>
          <w:spacing w:val="0"/>
          <w:kern w:val="0"/>
          <w:sz w:val="24"/>
          <w:szCs w:val="24"/>
          <w:bdr w:val="none" w:color="auto" w:sz="0" w:space="0"/>
          <w:shd w:val="clear" w:fill="FFFFFF"/>
        </w:rPr>
        <w:t>三、收到和处理政府信息公开申请情况</w:t>
      </w:r>
    </w:p>
    <w:tbl>
      <w:tblPr>
        <w:tblW w:w="949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8"/>
        <w:gridCol w:w="943"/>
        <w:gridCol w:w="3319"/>
        <w:gridCol w:w="589"/>
        <w:gridCol w:w="688"/>
        <w:gridCol w:w="688"/>
        <w:gridCol w:w="688"/>
        <w:gridCol w:w="688"/>
        <w:gridCol w:w="688"/>
        <w:gridCol w:w="4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030"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ascii="楷体" w:hAnsi="楷体" w:eastAsia="楷体" w:cs="楷体"/>
                <w:kern w:val="0"/>
                <w:sz w:val="20"/>
                <w:szCs w:val="20"/>
                <w:bdr w:val="none" w:color="auto" w:sz="0" w:space="0"/>
                <w:lang w:val="en-US" w:eastAsia="zh-CN" w:bidi="ar"/>
              </w:rPr>
              <w:t>（本列数据的勾稽关系为：第一项加第二项之和，等于第三项加第四项之和）</w:t>
            </w:r>
          </w:p>
        </w:tc>
        <w:tc>
          <w:tcPr>
            <w:tcW w:w="4460"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30"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89" w:type="dxa"/>
            <w:vMerge w:val="restar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431" w:type="dxa"/>
            <w:vMerge w:val="restart"/>
            <w:tcBorders>
              <w:top w:val="single" w:color="auto" w:sz="8" w:space="0"/>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30"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89"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商业</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企业</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科研</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机构</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p>
        </w:tc>
        <w:tc>
          <w:tcPr>
            <w:tcW w:w="431" w:type="dxa"/>
            <w:vMerge w:val="continue"/>
            <w:tcBorders>
              <w:top w:val="single"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30"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2</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30"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三、本年度办理结果</w:t>
            </w:r>
          </w:p>
        </w:tc>
        <w:tc>
          <w:tcPr>
            <w:tcW w:w="4262"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（一）予以公开</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262"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（三）不予公开</w:t>
            </w: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1.属于国家秘密</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2.其他法律行政法规禁止公开</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3.危及“三安全一稳定”</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4.保护第三方合法权益</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5.属于三类内部事务信息</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6.属于四类过程性信息</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7.属于行政执法案卷</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8.属于行政查询事项</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（四）无法提供</w:t>
            </w: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1.本机关不掌握相关政府信息</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2</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2.没有现成信息需要另行制作</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3.补正后申请内容仍不明确</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（五）不予处理</w:t>
            </w: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1.信访举报投诉类申请</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2.重复申请</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3.要求提供公开出版物</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4.无正当理由大量反复申请</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5.要求行政机关确认或重新出具已获取信息</w:t>
            </w:r>
          </w:p>
        </w:tc>
        <w:tc>
          <w:tcPr>
            <w:tcW w:w="589"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（六）其他处理</w:t>
            </w:r>
          </w:p>
        </w:tc>
        <w:tc>
          <w:tcPr>
            <w:tcW w:w="331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1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3.其他</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262"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（七）总计</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2</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30"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四、结转下年度继续办理</w:t>
            </w:r>
          </w:p>
        </w:tc>
        <w:tc>
          <w:tcPr>
            <w:tcW w:w="5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bdr w:val="none" w:color="auto" w:sz="0" w:space="0"/>
                <w:lang w:val="en-US" w:eastAsia="zh-CN" w:bidi="ar"/>
              </w:rPr>
              <w:t>0</w:t>
            </w:r>
          </w:p>
        </w:tc>
        <w:tc>
          <w:tcPr>
            <w:tcW w:w="43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pPr>
      <w:r>
        <w:rPr>
          <w:rFonts w:hint="eastAsia" w:ascii="宋体" w:hAnsi="宋体" w:eastAsia="宋体" w:cs="宋体"/>
          <w:b/>
          <w:bCs/>
          <w:i w:val="0"/>
          <w:iCs w:val="0"/>
          <w:caps w:val="0"/>
          <w:color w:val="333333"/>
          <w:spacing w:val="0"/>
          <w:kern w:val="0"/>
          <w:sz w:val="24"/>
          <w:szCs w:val="24"/>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pPr>
      <w:r>
        <w:rPr>
          <w:rFonts w:hint="eastAsia" w:ascii="宋体" w:hAnsi="宋体" w:eastAsia="宋体" w:cs="宋体"/>
          <w:b/>
          <w:bCs/>
          <w:i w:val="0"/>
          <w:iCs w:val="0"/>
          <w:caps w:val="0"/>
          <w:color w:val="333333"/>
          <w:spacing w:val="0"/>
          <w:kern w:val="0"/>
          <w:sz w:val="24"/>
          <w:szCs w:val="24"/>
          <w:bdr w:val="none" w:color="auto" w:sz="0" w:space="0"/>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宋体" w:hAnsi="宋体" w:eastAsia="宋体" w:cs="宋体"/>
          <w:i w:val="0"/>
          <w:iCs w:val="0"/>
          <w:caps w:val="0"/>
          <w:color w:val="333333"/>
          <w:spacing w:val="0"/>
          <w:kern w:val="2"/>
          <w:sz w:val="24"/>
          <w:szCs w:val="24"/>
          <w:bdr w:val="none" w:color="auto" w:sz="0" w:space="0"/>
          <w:shd w:val="clear" w:fill="FFFFFF"/>
          <w:lang w:val="en-US" w:eastAsia="zh-CN" w:bidi="ar"/>
        </w:rPr>
        <w:t xml:space="preserve"> </w:t>
      </w:r>
    </w:p>
    <w:tbl>
      <w:tblPr>
        <w:tblW w:w="95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0"/>
        <w:gridCol w:w="625"/>
        <w:gridCol w:w="650"/>
        <w:gridCol w:w="663"/>
        <w:gridCol w:w="554"/>
        <w:gridCol w:w="649"/>
        <w:gridCol w:w="649"/>
        <w:gridCol w:w="650"/>
        <w:gridCol w:w="650"/>
        <w:gridCol w:w="650"/>
        <w:gridCol w:w="651"/>
        <w:gridCol w:w="651"/>
        <w:gridCol w:w="651"/>
        <w:gridCol w:w="651"/>
        <w:gridCol w:w="4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17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行政复议</w:t>
            </w:r>
          </w:p>
        </w:tc>
        <w:tc>
          <w:tcPr>
            <w:tcW w:w="6348"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8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结果维持</w:t>
            </w:r>
          </w:p>
        </w:tc>
        <w:tc>
          <w:tcPr>
            <w:tcW w:w="6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6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55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未经复议直接起诉</w:t>
            </w:r>
          </w:p>
        </w:tc>
        <w:tc>
          <w:tcPr>
            <w:tcW w:w="310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8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6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5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总计</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其他</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结果</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49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8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default" w:ascii="Calibri" w:hAnsi="Calibri" w:eastAsia="宋体" w:cs="Calibri"/>
                <w:kern w:val="0"/>
                <w:sz w:val="20"/>
                <w:szCs w:val="20"/>
                <w:bdr w:val="none" w:color="auto" w:sz="0" w:space="0"/>
                <w:lang w:val="en-US" w:eastAsia="zh-CN" w:bidi="ar"/>
              </w:rPr>
              <w:t>0</w:t>
            </w:r>
          </w:p>
        </w:tc>
        <w:tc>
          <w:tcPr>
            <w:tcW w:w="4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w:t>
            </w:r>
          </w:p>
        </w:tc>
      </w:tr>
    </w:tbl>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b/>
          <w:bCs/>
          <w:i w:val="0"/>
          <w:iCs w:val="0"/>
          <w:caps w:val="0"/>
          <w:color w:val="333333"/>
          <w:spacing w:val="0"/>
          <w:kern w:val="0"/>
          <w:sz w:val="24"/>
          <w:szCs w:val="24"/>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仿宋_GB2312" w:eastAsia="仿宋_GB2312" w:cs="仿宋_GB2312"/>
          <w:i w:val="0"/>
          <w:iCs w:val="0"/>
          <w:caps w:val="0"/>
          <w:spacing w:val="0"/>
          <w:kern w:val="0"/>
          <w:sz w:val="28"/>
          <w:szCs w:val="28"/>
          <w:bdr w:val="none" w:color="auto" w:sz="0" w:space="0"/>
          <w:shd w:val="clear" w:fill="FFFFFF"/>
        </w:rPr>
        <w:t>今年政务公开方面主要存在的问题一是上传的政府信息未严格按照上级部门发布的六安市2022年政务公开考评指标体系。下一步，我局将加强各股室报送信息的审核，严格按照上级政务公开考评指标。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pPr>
      <w:r>
        <w:rPr>
          <w:rFonts w:hint="eastAsia" w:ascii="仿宋_GB2312" w:eastAsia="仿宋_GB2312" w:cs="仿宋_GB2312"/>
          <w:i w:val="0"/>
          <w:iCs w:val="0"/>
          <w:caps w:val="0"/>
          <w:spacing w:val="0"/>
          <w:kern w:val="0"/>
          <w:sz w:val="28"/>
          <w:szCs w:val="28"/>
          <w:bdr w:val="none" w:color="auto" w:sz="0" w:space="0"/>
          <w:shd w:val="clear" w:fill="FFFFFF"/>
        </w:rPr>
        <w:t>二是信息公开程序需进一步优化。例如：在某些紧急更新的情况下，业务科室未经分管领导审核，直接发送政务公开人员。下一步我局将严格实行三审制度，所有政务发布信息需经经办人、部门负责人和分管领导三审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b/>
          <w:bCs/>
          <w:i w:val="0"/>
          <w:iCs w:val="0"/>
          <w:caps w:val="0"/>
          <w:color w:val="333333"/>
          <w:spacing w:val="0"/>
          <w:kern w:val="0"/>
          <w:sz w:val="24"/>
          <w:szCs w:val="24"/>
          <w:bdr w:val="none" w:color="auto" w:sz="0" w:space="0"/>
          <w:shd w:val="clear" w:fill="FFFFFF"/>
        </w:rPr>
        <w:t>六、其他需要报告的事项</w:t>
      </w:r>
    </w:p>
    <w:p>
      <w:pPr>
        <w:keepNext w:val="0"/>
        <w:keepLines w:val="0"/>
        <w:widowControl/>
        <w:suppressLineNumbers w:val="0"/>
        <w:spacing w:before="0" w:beforeAutospacing="1" w:after="0" w:afterAutospacing="1"/>
        <w:ind w:left="0" w:right="0"/>
        <w:jc w:val="left"/>
      </w:pPr>
      <w:r>
        <w:rPr>
          <w:rFonts w:hint="eastAsia" w:ascii="仿宋_GB2312" w:hAnsi="宋体" w:eastAsia="仿宋_GB2312" w:cs="仿宋_GB2312"/>
          <w:i w:val="0"/>
          <w:iCs w:val="0"/>
          <w:caps w:val="0"/>
          <w:color w:val="000000"/>
          <w:spacing w:val="0"/>
          <w:kern w:val="2"/>
          <w:sz w:val="28"/>
          <w:szCs w:val="28"/>
          <w:shd w:val="clear" w:fill="FFFFFF"/>
          <w:lang w:val="en-US" w:eastAsia="zh-CN" w:bidi="ar"/>
        </w:rPr>
        <w:t>按照《国务院办公厅关于印发〈政府信息公开信息处理费管理办法〉的通知》（国办函〔2020〕109号）规定的按件、按量收费标准，本年度没有产生信息公开处理费。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right"/>
      </w:pPr>
      <w:r>
        <w:rPr>
          <w:rFonts w:hint="eastAsia" w:ascii="仿宋_GB2312" w:hAnsi="微软雅黑" w:eastAsia="仿宋_GB2312" w:cs="仿宋_GB2312"/>
          <w:i w:val="0"/>
          <w:iCs w:val="0"/>
          <w:caps w:val="0"/>
          <w:color w:val="000000"/>
          <w:spacing w:val="0"/>
          <w:kern w:val="0"/>
          <w:sz w:val="28"/>
          <w:szCs w:val="28"/>
          <w:bdr w:val="none" w:color="auto" w:sz="0" w:space="0"/>
          <w:shd w:val="clear" w:fill="FFFFFF"/>
        </w:rPr>
        <w:t xml:space="preserve"> 六安市叶集区住房和城乡建设局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center"/>
      </w:pPr>
      <w:r>
        <w:rPr>
          <w:rFonts w:hint="eastAsia" w:ascii="仿宋_GB2312" w:hAnsi="微软雅黑" w:eastAsia="仿宋_GB2312" w:cs="仿宋_GB2312"/>
          <w:i w:val="0"/>
          <w:iCs w:val="0"/>
          <w:caps w:val="0"/>
          <w:color w:val="000000"/>
          <w:spacing w:val="0"/>
          <w:kern w:val="0"/>
          <w:sz w:val="28"/>
          <w:szCs w:val="28"/>
          <w:bdr w:val="none" w:color="auto" w:sz="0" w:space="0"/>
          <w:shd w:val="clear" w:fill="FFFFFF"/>
        </w:rPr>
        <w:t xml:space="preserve">               </w:t>
      </w:r>
      <w:r>
        <w:rPr>
          <w:rFonts w:hint="eastAsia" w:ascii="仿宋_GB2312" w:hAnsi="微软雅黑" w:eastAsia="仿宋_GB2312" w:cs="仿宋_GB2312"/>
          <w:i w:val="0"/>
          <w:iCs w:val="0"/>
          <w:caps w:val="0"/>
          <w:color w:val="000000"/>
          <w:spacing w:val="0"/>
          <w:kern w:val="0"/>
          <w:sz w:val="28"/>
          <w:szCs w:val="28"/>
          <w:bdr w:val="none" w:color="auto" w:sz="0" w:space="0"/>
          <w:shd w:val="clear" w:fill="FFFFFF"/>
          <w:lang w:val="en-US" w:eastAsia="zh-CN"/>
        </w:rPr>
        <w:t xml:space="preserve">        </w:t>
      </w:r>
      <w:r>
        <w:rPr>
          <w:rFonts w:hint="eastAsia" w:ascii="仿宋_GB2312" w:hAnsi="微软雅黑" w:eastAsia="仿宋_GB2312" w:cs="仿宋_GB2312"/>
          <w:i w:val="0"/>
          <w:iCs w:val="0"/>
          <w:caps w:val="0"/>
          <w:color w:val="000000"/>
          <w:spacing w:val="0"/>
          <w:kern w:val="0"/>
          <w:sz w:val="28"/>
          <w:szCs w:val="28"/>
          <w:bdr w:val="none" w:color="auto" w:sz="0" w:space="0"/>
          <w:shd w:val="clear" w:fill="FFFFFF"/>
        </w:rPr>
        <w:t xml:space="preserve">   2023年1月16日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wYmM0Nzk2Y2QzZDM3ODdkOTMzZWJhM2FkYzNhZmUifQ=="/>
  </w:docVars>
  <w:rsids>
    <w:rsidRoot w:val="12651ABF"/>
    <w:rsid w:val="04E30728"/>
    <w:rsid w:val="0DDF2856"/>
    <w:rsid w:val="12651ABF"/>
    <w:rsid w:val="22434BDB"/>
    <w:rsid w:val="351146F6"/>
    <w:rsid w:val="37571696"/>
    <w:rsid w:val="38647DD6"/>
    <w:rsid w:val="3AD95821"/>
    <w:rsid w:val="3B1D3A0C"/>
    <w:rsid w:val="3CC610EA"/>
    <w:rsid w:val="417E3378"/>
    <w:rsid w:val="42177136"/>
    <w:rsid w:val="581E32AE"/>
    <w:rsid w:val="5D7D3043"/>
    <w:rsid w:val="61142092"/>
    <w:rsid w:val="63C652E0"/>
    <w:rsid w:val="6F1B67B2"/>
    <w:rsid w:val="73DA663F"/>
    <w:rsid w:val="76F9120A"/>
    <w:rsid w:val="7AEB6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2024-02-21T00:25:00Z</dcterms:created>
  <dc:creator>星空1396429331</dc:creator>
  <cp:lastModifiedBy>星空1396429331</cp:lastModifiedBy>
  <dcterms:modified xsi:type="dcterms:W3CDTF">2024-02-21T00:26:29Z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11260160D30F4B53B023A75BDB50AE1D_11</vt:lpwstr>
  </property>
</Properties>
</file>