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rPr>
          <w:rFonts w:hint="eastAsia" w:ascii="仿宋_GB2312" w:hAnsi="仿宋_GB2312" w:eastAsia="仿宋_GB2312" w:cs="仿宋_GB2312"/>
          <w:color w:val="auto"/>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六安市叶集区公共资源交易中心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color w:val="auto"/>
          <w:sz w:val="44"/>
          <w:szCs w:val="44"/>
          <w:lang w:val="en-US" w:eastAsia="zh-CN"/>
        </w:rPr>
        <w:t>2023</w:t>
      </w:r>
      <w:r>
        <w:rPr>
          <w:rFonts w:hint="eastAsia" w:ascii="方正小标宋简体" w:hAnsi="方正小标宋简体" w:eastAsia="方正小标宋简体" w:cs="方正小标宋简体"/>
          <w:color w:val="auto"/>
          <w:sz w:val="44"/>
          <w:szCs w:val="44"/>
        </w:rPr>
        <w:t>年政府信息公开工作年度报告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仿宋_GB2312" w:hAnsi="微软雅黑" w:eastAsia="仿宋_GB2312" w:cs="仿宋_GB2312"/>
          <w:i w:val="0"/>
          <w:iCs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微软雅黑" w:hAnsi="微软雅黑" w:eastAsia="微软雅黑" w:cs="微软雅黑"/>
          <w:i w:val="0"/>
          <w:iCs w:val="0"/>
          <w:caps w:val="0"/>
          <w:color w:val="auto"/>
          <w:spacing w:val="0"/>
          <w:sz w:val="21"/>
          <w:szCs w:val="21"/>
        </w:rPr>
      </w:pPr>
      <w:r>
        <w:rPr>
          <w:rFonts w:ascii="仿宋_GB2312" w:hAnsi="微软雅黑" w:eastAsia="仿宋_GB2312" w:cs="仿宋_GB2312"/>
          <w:i w:val="0"/>
          <w:iCs w:val="0"/>
          <w:caps w:val="0"/>
          <w:color w:val="auto"/>
          <w:spacing w:val="0"/>
          <w:kern w:val="0"/>
          <w:sz w:val="32"/>
          <w:szCs w:val="32"/>
          <w:shd w:val="clear" w:fill="FFFFFF"/>
          <w:lang w:val="en-US" w:eastAsia="zh-CN" w:bidi="ar"/>
        </w:rPr>
        <w:t>本报告根据《中华人民共和国政府信息公开条例》（国务院令第</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711</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号，以下简称新《条例》）及省市有关文件要求，由区公共资源交易中心结合统计数据编制而成。报告的全文主要包括总体情况、主动公开政府信息情况、收到和处理政府信息公开申请情况、政府信息公开行政复议、行政诉讼情况、存在的主要问题及改进情况和其他需要报告事项。本报告中使用数据统计期限为</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202</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3</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年</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1</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月</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1</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日至</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12</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月</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31</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日，报告的电子版可在六安市叶集区公共资源交易中心信息公开网（</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https://www.ahyeji.gov.cn/public/column/6599621?type=4&amp;action=list&amp;nav=3&amp;catId=7067611</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）下载。如对本报告有任何疑问，请与六安市叶集区公共资源交易中心办公室联系（地址：六安市叶集区社保大楼</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4</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楼</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417</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室，电话：</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0564</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6496265</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，邮编：</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237431</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ascii="黑体" w:hAnsi="宋体" w:eastAsia="黑体" w:cs="黑体"/>
          <w:i w:val="0"/>
          <w:iCs w:val="0"/>
          <w:caps w:val="0"/>
          <w:color w:val="auto"/>
          <w:spacing w:val="0"/>
          <w:kern w:val="0"/>
          <w:sz w:val="32"/>
          <w:szCs w:val="32"/>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auto"/>
          <w:spacing w:val="0"/>
          <w:sz w:val="21"/>
          <w:szCs w:val="21"/>
        </w:rPr>
      </w:pPr>
      <w:r>
        <w:rPr>
          <w:rFonts w:ascii="楷体" w:hAnsi="楷体" w:eastAsia="楷体" w:cs="楷体"/>
          <w:i w:val="0"/>
          <w:iCs w:val="0"/>
          <w:caps w:val="0"/>
          <w:color w:val="auto"/>
          <w:spacing w:val="0"/>
          <w:kern w:val="0"/>
          <w:sz w:val="32"/>
          <w:szCs w:val="32"/>
          <w:shd w:val="clear" w:fill="FFFFFF"/>
          <w:lang w:val="en-US" w:eastAsia="zh-CN" w:bidi="ar"/>
        </w:rPr>
        <w:t>（</w:t>
      </w:r>
      <w:r>
        <w:rPr>
          <w:rFonts w:hint="eastAsia" w:ascii="楷体" w:hAnsi="楷体" w:eastAsia="楷体" w:cs="楷体"/>
          <w:i w:val="0"/>
          <w:iCs w:val="0"/>
          <w:caps w:val="0"/>
          <w:color w:val="auto"/>
          <w:spacing w:val="0"/>
          <w:kern w:val="0"/>
          <w:sz w:val="32"/>
          <w:szCs w:val="32"/>
          <w:shd w:val="clear" w:fill="FFFFFF"/>
          <w:lang w:val="en-US" w:eastAsia="zh-CN" w:bidi="ar"/>
        </w:rPr>
        <w:t>一）主动公开情况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微软雅黑" w:eastAsia="仿宋"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密切联系本单位服务职能，围绕招标投标领域做好公共资源配置信息公开，持续创优营商环境，推动政务公开工作打开新局面。</w:t>
      </w:r>
      <w:r>
        <w:rPr>
          <w:rFonts w:hint="eastAsia" w:ascii="仿宋_GB2312" w:hAnsi="仿宋_GB2312" w:eastAsia="仿宋_GB2312" w:cs="仿宋_GB2312"/>
          <w:i w:val="0"/>
          <w:iCs w:val="0"/>
          <w:caps w:val="0"/>
          <w:color w:val="auto"/>
          <w:spacing w:val="0"/>
          <w:sz w:val="32"/>
          <w:szCs w:val="32"/>
          <w:shd w:val="clear" w:fill="FFFFFF"/>
        </w:rPr>
        <w:t>主动回应热点问题，发布招投标领域营商环境问题线索征集、</w:t>
      </w:r>
      <w:r>
        <w:rPr>
          <w:rFonts w:hint="eastAsia" w:ascii="仿宋_GB2312" w:hAnsi="仿宋_GB2312" w:eastAsia="仿宋_GB2312" w:cs="仿宋_GB2312"/>
          <w:i w:val="0"/>
          <w:iCs w:val="0"/>
          <w:caps w:val="0"/>
          <w:color w:val="auto"/>
          <w:spacing w:val="0"/>
          <w:sz w:val="32"/>
          <w:szCs w:val="32"/>
          <w:shd w:val="clear" w:fill="FFFFFF"/>
          <w:lang w:val="en-US" w:eastAsia="zh-CN"/>
        </w:rPr>
        <w:t>清理规范涉企保证金、</w:t>
      </w:r>
      <w:r>
        <w:rPr>
          <w:rFonts w:hint="eastAsia" w:ascii="仿宋_GB2312" w:hAnsi="仿宋_GB2312" w:eastAsia="仿宋_GB2312" w:cs="仿宋_GB2312"/>
          <w:i w:val="0"/>
          <w:iCs w:val="0"/>
          <w:caps w:val="0"/>
          <w:color w:val="auto"/>
          <w:spacing w:val="0"/>
          <w:sz w:val="32"/>
          <w:szCs w:val="32"/>
          <w:shd w:val="clear" w:fill="FFFFFF"/>
        </w:rPr>
        <w:t>投标保证金退还办理手续等与本部门职能密切相关事项和人民群众办事堵点痛点相关的通知公告</w:t>
      </w:r>
      <w:r>
        <w:rPr>
          <w:rFonts w:hint="eastAsia" w:ascii="仿宋_GB2312" w:hAnsi="仿宋_GB2312" w:eastAsia="仿宋_GB2312" w:cs="仿宋_GB2312"/>
          <w:i w:val="0"/>
          <w:iCs w:val="0"/>
          <w:caps w:val="0"/>
          <w:color w:val="auto"/>
          <w:spacing w:val="0"/>
          <w:sz w:val="32"/>
          <w:szCs w:val="32"/>
          <w:shd w:val="clear" w:fill="FFFFFF"/>
          <w:lang w:val="en-US" w:eastAsia="zh-CN"/>
        </w:rPr>
        <w:t>共23条信息</w:t>
      </w:r>
      <w:r>
        <w:rPr>
          <w:rFonts w:hint="eastAsia" w:ascii="仿宋_GB2312" w:hAnsi="仿宋_GB2312" w:eastAsia="仿宋_GB2312" w:cs="仿宋_GB2312"/>
          <w:i w:val="0"/>
          <w:iCs w:val="0"/>
          <w:caps w:val="0"/>
          <w:color w:val="auto"/>
          <w:spacing w:val="0"/>
          <w:sz w:val="32"/>
          <w:szCs w:val="32"/>
          <w:shd w:val="clear" w:fill="FFFFFF"/>
        </w:rPr>
        <w:t>。提升政策解读深度，丰富解读形式。在100%文字解读的基础上，综合选用新闻发布会、图片、短视频等多元化解读形式，讲明讲透政策内涵。</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做好重点领域信息公开，全流程公示所有招标项目招标公告、招标文件、候选公示、结果公示、合同信息、履约信息等信息。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规范使用依申请公开平台，切实发挥依申请公开平台监管作用。定期查看网址、办公地址、联系电话、附件链接、平台办件情况等关键信息，及时录入线下件。2023年区公共资源交易中心收到1件依申请公开办件，已按要求完成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楷体" w:hAnsi="楷体" w:eastAsia="楷体" w:cs="楷体"/>
          <w:i w:val="0"/>
          <w:iCs w:val="0"/>
          <w:caps w:val="0"/>
          <w:color w:val="auto"/>
          <w:spacing w:val="0"/>
          <w:kern w:val="0"/>
          <w:sz w:val="32"/>
          <w:szCs w:val="32"/>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清理规范性文件，梳理文件有效性，及时删除废止失效文件。同时做好规范性文件格式规范工作，根据区政府要求排查规范性文件格式，确保格式规范。在集体讨论的基础上，征求群众意见，修订完善《六安市叶集区公共资源交易中心服务细则》。常态化做好公共资源交易领域信息的保密审查、隐私排查工作，确保公示信息不涉及涉密信息及身份证号码、健康状况等个人隐私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（四）政府信息公开平台建设情况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明确招投标领域监督处罚信息发布主体责任。根据《六安市人民政府办公室关于印发六安市公共资源配置领域信息公开工作暂行办法的通知》（六政办〔2018〕55号），交易中心无权对交易活动当事人违法违规行为做出处理处罚，故不应负责信用奖惩信息、违法违规处罚信息、政府采购投诉监督检查处理等栏目信息的公开。目前已对接区政务公开办，变更上述栏目发布权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严格对照政务公开考核指标要求，维护好各栏目内容。及时调整更新各栏目信息，做到栏目下无空白信息、无过期信息。对照区政府办测评结果和检测问题清单逐一整改问题，规范格式，完善内容，有效整改，及时公示。参加区政府办组织的业务培训2次，明确政务公开重点工作，了解文件公开、政策解读、意见征集、依申请公开等业务注意事项，学习规范业务办理流程和公开文件格式。</w:t>
      </w:r>
    </w:p>
    <w:p>
      <w:pPr>
        <w:spacing w:line="576"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二、主动公开政府信息情况</w:t>
      </w:r>
    </w:p>
    <w:tbl>
      <w:tblPr>
        <w:tblStyle w:val="6"/>
        <w:tblW w:w="8958" w:type="dxa"/>
        <w:jc w:val="center"/>
        <w:tblLayout w:type="fixed"/>
        <w:tblCellMar>
          <w:top w:w="0" w:type="dxa"/>
          <w:left w:w="0" w:type="dxa"/>
          <w:bottom w:w="0" w:type="dxa"/>
          <w:right w:w="0" w:type="dxa"/>
        </w:tblCellMar>
      </w:tblPr>
      <w:tblGrid>
        <w:gridCol w:w="2240"/>
        <w:gridCol w:w="2240"/>
        <w:gridCol w:w="2239"/>
        <w:gridCol w:w="2239"/>
      </w:tblGrid>
      <w:tr>
        <w:tblPrEx>
          <w:tblCellMar>
            <w:top w:w="0" w:type="dxa"/>
            <w:left w:w="0" w:type="dxa"/>
            <w:bottom w:w="0" w:type="dxa"/>
            <w:right w:w="0" w:type="dxa"/>
          </w:tblCellMar>
        </w:tblPrEx>
        <w:trPr>
          <w:cantSplit/>
          <w:trHeight w:val="567" w:hRule="atLeast"/>
          <w:jc w:val="center"/>
        </w:trPr>
        <w:tc>
          <w:tcPr>
            <w:tcW w:w="895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第二十条第（一）项</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信息内容</w:t>
            </w:r>
          </w:p>
        </w:tc>
        <w:tc>
          <w:tcPr>
            <w:tcW w:w="224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本年制发件数</w:t>
            </w:r>
          </w:p>
        </w:tc>
        <w:tc>
          <w:tcPr>
            <w:tcW w:w="223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本年废止件数</w:t>
            </w:r>
          </w:p>
        </w:tc>
        <w:tc>
          <w:tcPr>
            <w:tcW w:w="223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现行有效件数</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宋体" w:cs="宋体"/>
                <w:color w:val="auto"/>
                <w:kern w:val="0"/>
                <w:sz w:val="20"/>
                <w:szCs w:val="20"/>
              </w:rPr>
            </w:pPr>
            <w:r>
              <w:rPr>
                <w:rFonts w:hint="eastAsia" w:ascii="Times New Roman" w:hAnsi="Times New Roman" w:eastAsia="宋体" w:cs="宋体"/>
                <w:color w:val="auto"/>
                <w:kern w:val="0"/>
                <w:sz w:val="20"/>
                <w:szCs w:val="20"/>
              </w:rPr>
              <w:t>规章</w:t>
            </w:r>
          </w:p>
        </w:tc>
        <w:tc>
          <w:tcPr>
            <w:tcW w:w="2240"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auto"/>
                <w:kern w:val="0"/>
                <w:sz w:val="20"/>
                <w:szCs w:val="20"/>
                <w:lang w:val="en-US" w:eastAsia="zh-CN"/>
              </w:rPr>
            </w:pPr>
            <w:r>
              <w:rPr>
                <w:rFonts w:hint="eastAsia" w:ascii="Times New Roman" w:hAnsi="Times New Roman" w:eastAsia="宋体" w:cs="宋体"/>
                <w:color w:val="auto"/>
                <w:kern w:val="0"/>
                <w:sz w:val="20"/>
                <w:szCs w:val="20"/>
                <w:lang w:val="en-US" w:eastAsia="zh-CN"/>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auto"/>
                <w:kern w:val="0"/>
                <w:sz w:val="20"/>
                <w:szCs w:val="20"/>
                <w:lang w:val="en-US" w:eastAsia="zh-CN"/>
              </w:rPr>
            </w:pPr>
            <w:r>
              <w:rPr>
                <w:rFonts w:hint="eastAsia" w:ascii="Times New Roman" w:hAnsi="Times New Roman" w:eastAsia="宋体" w:cs="宋体"/>
                <w:color w:val="auto"/>
                <w:kern w:val="0"/>
                <w:sz w:val="20"/>
                <w:szCs w:val="20"/>
                <w:lang w:val="en-US" w:eastAsia="zh-CN"/>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auto"/>
                <w:kern w:val="0"/>
                <w:sz w:val="20"/>
                <w:szCs w:val="20"/>
                <w:lang w:val="en-US" w:eastAsia="zh-CN"/>
              </w:rPr>
            </w:pPr>
            <w:r>
              <w:rPr>
                <w:rFonts w:hint="eastAsia" w:ascii="Times New Roman" w:hAnsi="Times New Roman" w:eastAsia="宋体" w:cs="宋体"/>
                <w:color w:val="auto"/>
                <w:kern w:val="0"/>
                <w:sz w:val="20"/>
                <w:szCs w:val="20"/>
                <w:lang w:val="en-US" w:eastAsia="zh-CN"/>
              </w:rPr>
              <w:t>0</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宋体" w:cs="宋体"/>
                <w:color w:val="auto"/>
                <w:kern w:val="0"/>
                <w:sz w:val="20"/>
                <w:szCs w:val="20"/>
              </w:rPr>
            </w:pPr>
            <w:r>
              <w:rPr>
                <w:rFonts w:hint="eastAsia" w:ascii="Times New Roman" w:hAnsi="Times New Roman" w:eastAsia="宋体" w:cs="宋体"/>
                <w:color w:val="auto"/>
                <w:kern w:val="0"/>
                <w:sz w:val="20"/>
                <w:szCs w:val="20"/>
              </w:rPr>
              <w:t>行政规范性文件</w:t>
            </w:r>
          </w:p>
        </w:tc>
        <w:tc>
          <w:tcPr>
            <w:tcW w:w="2240"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auto"/>
                <w:kern w:val="0"/>
                <w:sz w:val="20"/>
                <w:szCs w:val="20"/>
                <w:lang w:val="en-US" w:eastAsia="zh-CN"/>
              </w:rPr>
            </w:pPr>
            <w:r>
              <w:rPr>
                <w:rFonts w:hint="eastAsia" w:ascii="Times New Roman" w:hAnsi="Times New Roman" w:eastAsia="宋体" w:cs="宋体"/>
                <w:color w:val="auto"/>
                <w:kern w:val="0"/>
                <w:sz w:val="20"/>
                <w:szCs w:val="20"/>
                <w:lang w:val="en-US" w:eastAsia="zh-CN"/>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auto"/>
                <w:kern w:val="0"/>
                <w:sz w:val="20"/>
                <w:szCs w:val="20"/>
                <w:lang w:val="en-US" w:eastAsia="zh-CN"/>
              </w:rPr>
            </w:pPr>
            <w:r>
              <w:rPr>
                <w:rFonts w:hint="eastAsia" w:ascii="Times New Roman" w:hAnsi="Times New Roman" w:eastAsia="宋体" w:cs="宋体"/>
                <w:color w:val="auto"/>
                <w:kern w:val="0"/>
                <w:sz w:val="20"/>
                <w:szCs w:val="20"/>
                <w:lang w:val="en-US" w:eastAsia="zh-CN"/>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auto"/>
                <w:kern w:val="0"/>
                <w:sz w:val="20"/>
                <w:szCs w:val="20"/>
                <w:lang w:val="en-US" w:eastAsia="zh-CN"/>
              </w:rPr>
            </w:pPr>
            <w:r>
              <w:rPr>
                <w:rFonts w:hint="eastAsia" w:ascii="Times New Roman" w:hAnsi="Times New Roman" w:eastAsia="宋体" w:cs="宋体"/>
                <w:color w:val="auto"/>
                <w:kern w:val="0"/>
                <w:sz w:val="20"/>
                <w:szCs w:val="20"/>
                <w:lang w:val="en-US" w:eastAsia="zh-CN"/>
              </w:rPr>
              <w:t>0</w:t>
            </w:r>
          </w:p>
        </w:tc>
      </w:tr>
      <w:tr>
        <w:tblPrEx>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第二十条第（五）项</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信息内容</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本年处理决定数量</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行政许可</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20"/>
                <w:szCs w:val="20"/>
                <w:lang w:val="en-US" w:eastAsia="zh-CN"/>
              </w:rPr>
              <w:t>0</w:t>
            </w:r>
          </w:p>
        </w:tc>
      </w:tr>
      <w:tr>
        <w:tblPrEx>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第二十条第（六）项</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信息内容</w:t>
            </w:r>
          </w:p>
        </w:tc>
        <w:tc>
          <w:tcPr>
            <w:tcW w:w="6718"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本年处理决定数量</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宋体" w:cs="宋体"/>
                <w:color w:val="auto"/>
                <w:kern w:val="0"/>
                <w:sz w:val="20"/>
                <w:szCs w:val="20"/>
              </w:rPr>
            </w:pPr>
            <w:r>
              <w:rPr>
                <w:rFonts w:hint="eastAsia" w:ascii="Times New Roman" w:hAnsi="Times New Roman" w:eastAsia="宋体" w:cs="宋体"/>
                <w:color w:val="auto"/>
                <w:kern w:val="0"/>
                <w:sz w:val="20"/>
                <w:szCs w:val="20"/>
              </w:rPr>
              <w:t>行政处罚</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auto"/>
                <w:kern w:val="0"/>
                <w:sz w:val="20"/>
                <w:szCs w:val="20"/>
                <w:lang w:val="en-US" w:eastAsia="zh-CN"/>
              </w:rPr>
            </w:pPr>
            <w:r>
              <w:rPr>
                <w:rFonts w:hint="eastAsia" w:ascii="Times New Roman" w:hAnsi="Times New Roman" w:eastAsia="宋体" w:cs="宋体"/>
                <w:color w:val="auto"/>
                <w:kern w:val="0"/>
                <w:sz w:val="20"/>
                <w:szCs w:val="20"/>
                <w:lang w:val="en-US" w:eastAsia="zh-CN"/>
              </w:rPr>
              <w:t>0</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宋体" w:cs="宋体"/>
                <w:color w:val="auto"/>
                <w:kern w:val="0"/>
                <w:sz w:val="20"/>
                <w:szCs w:val="20"/>
              </w:rPr>
            </w:pPr>
            <w:r>
              <w:rPr>
                <w:rFonts w:hint="eastAsia" w:ascii="Times New Roman" w:hAnsi="Times New Roman" w:eastAsia="宋体" w:cs="宋体"/>
                <w:color w:val="auto"/>
                <w:kern w:val="0"/>
                <w:sz w:val="20"/>
                <w:szCs w:val="20"/>
              </w:rPr>
              <w:t>行政强制</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auto"/>
                <w:kern w:val="0"/>
                <w:sz w:val="20"/>
                <w:szCs w:val="20"/>
                <w:lang w:val="en-US" w:eastAsia="zh-CN"/>
              </w:rPr>
            </w:pPr>
            <w:r>
              <w:rPr>
                <w:rFonts w:hint="eastAsia" w:ascii="Times New Roman" w:hAnsi="Times New Roman" w:eastAsia="宋体" w:cs="宋体"/>
                <w:color w:val="auto"/>
                <w:kern w:val="0"/>
                <w:sz w:val="20"/>
                <w:szCs w:val="20"/>
                <w:lang w:val="en-US" w:eastAsia="zh-CN"/>
              </w:rPr>
              <w:t>0</w:t>
            </w:r>
          </w:p>
        </w:tc>
      </w:tr>
      <w:tr>
        <w:tblPrEx>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第二十条第（八）项</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信息内容</w:t>
            </w:r>
          </w:p>
        </w:tc>
        <w:tc>
          <w:tcPr>
            <w:tcW w:w="6718"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本年收费金额（单位：万元）</w:t>
            </w:r>
          </w:p>
        </w:tc>
      </w:tr>
      <w:tr>
        <w:tblPrEx>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auto"/>
                <w:sz w:val="32"/>
                <w:szCs w:val="32"/>
              </w:rPr>
            </w:pPr>
            <w:r>
              <w:rPr>
                <w:rFonts w:hint="eastAsia" w:ascii="Times New Roman" w:hAnsi="Times New Roman" w:eastAsia="宋体" w:cs="宋体"/>
                <w:color w:val="auto"/>
                <w:kern w:val="0"/>
                <w:sz w:val="20"/>
                <w:szCs w:val="20"/>
              </w:rPr>
              <w:t>行政事业性收费</w:t>
            </w:r>
          </w:p>
        </w:tc>
        <w:tc>
          <w:tcPr>
            <w:tcW w:w="6718"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2"/>
                <w:szCs w:val="22"/>
                <w:lang w:val="en-US" w:eastAsia="zh-CN"/>
              </w:rPr>
              <w:t>0</w:t>
            </w:r>
          </w:p>
        </w:tc>
      </w:tr>
    </w:tbl>
    <w:p>
      <w:pPr>
        <w:spacing w:line="576"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三、收到和处理政府信息公开申请情况</w:t>
      </w:r>
    </w:p>
    <w:tbl>
      <w:tblPr>
        <w:tblStyle w:val="6"/>
        <w:tblW w:w="895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704"/>
        <w:gridCol w:w="862"/>
        <w:gridCol w:w="2908"/>
        <w:gridCol w:w="632"/>
        <w:gridCol w:w="642"/>
        <w:gridCol w:w="642"/>
        <w:gridCol w:w="642"/>
        <w:gridCol w:w="642"/>
        <w:gridCol w:w="642"/>
        <w:gridCol w:w="6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vMerge w:val="restart"/>
            <w:tcBorders>
              <w:top w:val="single" w:color="auto" w:sz="12" w:space="0"/>
              <w:left w:val="single" w:color="auto" w:sz="12" w:space="0"/>
              <w:bottom w:val="outset" w:color="auto" w:sz="8" w:space="0"/>
              <w:right w:val="single" w:color="auto" w:sz="8" w:space="0"/>
            </w:tcBorders>
            <w:tcMar>
              <w:left w:w="108" w:type="dxa"/>
              <w:right w:w="108" w:type="dxa"/>
            </w:tcMar>
            <w:vAlign w:val="center"/>
          </w:tcPr>
          <w:p>
            <w:pPr>
              <w:widowControl/>
              <w:jc w:val="left"/>
              <w:rPr>
                <w:rFonts w:ascii="Times New Roman" w:hAnsi="Times New Roman" w:eastAsia="华文中宋" w:cs="Times New Roman"/>
                <w:color w:val="auto"/>
                <w:szCs w:val="21"/>
              </w:rPr>
            </w:pPr>
            <w:r>
              <w:rPr>
                <w:rFonts w:ascii="Times New Roman" w:hAnsi="Times New Roman" w:eastAsia="华文中宋" w:cs="楷体"/>
                <w:color w:val="auto"/>
                <w:kern w:val="0"/>
                <w:szCs w:val="21"/>
              </w:rPr>
              <w:t>（本列数据的勾稽关系为：第一项加第二项之和，等于第三项加第四项之和）</w:t>
            </w:r>
          </w:p>
        </w:tc>
        <w:tc>
          <w:tcPr>
            <w:tcW w:w="4484" w:type="dxa"/>
            <w:gridSpan w:val="7"/>
            <w:tcBorders>
              <w:top w:val="single" w:color="auto" w:sz="12" w:space="0"/>
              <w:left w:val="nil"/>
              <w:bottom w:val="single" w:color="auto" w:sz="8" w:space="0"/>
              <w:right w:val="single" w:color="auto" w:sz="12"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vMerge w:val="continue"/>
            <w:tcBorders>
              <w:top w:val="single" w:color="auto" w:sz="8" w:space="0"/>
              <w:left w:val="single" w:color="auto" w:sz="12" w:space="0"/>
              <w:bottom w:val="outset" w:color="auto" w:sz="8" w:space="0"/>
              <w:right w:val="single" w:color="auto" w:sz="8" w:space="0"/>
            </w:tcBorders>
            <w:tcMar>
              <w:left w:w="108" w:type="dxa"/>
              <w:right w:w="108" w:type="dxa"/>
            </w:tcMar>
            <w:vAlign w:val="center"/>
          </w:tcPr>
          <w:p>
            <w:pPr>
              <w:rPr>
                <w:rFonts w:ascii="Times New Roman" w:hAnsi="Times New Roman" w:eastAsia="华文中宋" w:cs="Times New Roman"/>
                <w:color w:val="auto"/>
                <w:szCs w:val="21"/>
              </w:rPr>
            </w:pPr>
          </w:p>
        </w:tc>
        <w:tc>
          <w:tcPr>
            <w:tcW w:w="632" w:type="dxa"/>
            <w:vMerge w:val="restart"/>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自然人</w:t>
            </w:r>
          </w:p>
        </w:tc>
        <w:tc>
          <w:tcPr>
            <w:tcW w:w="3210" w:type="dxa"/>
            <w:gridSpan w:val="5"/>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法人或其他组织</w:t>
            </w:r>
          </w:p>
        </w:tc>
        <w:tc>
          <w:tcPr>
            <w:tcW w:w="642" w:type="dxa"/>
            <w:vMerge w:val="restart"/>
            <w:tcBorders>
              <w:top w:val="single" w:color="auto" w:sz="8" w:space="0"/>
              <w:left w:val="single" w:color="auto" w:sz="0" w:space="0"/>
              <w:bottom w:val="outset" w:color="auto" w:sz="8" w:space="0"/>
              <w:right w:val="single" w:color="auto" w:sz="12"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vMerge w:val="continue"/>
            <w:tcBorders>
              <w:top w:val="single" w:color="auto" w:sz="8" w:space="0"/>
              <w:left w:val="single" w:color="auto" w:sz="12" w:space="0"/>
              <w:bottom w:val="outset" w:color="auto" w:sz="8" w:space="0"/>
              <w:right w:val="single" w:color="auto" w:sz="8" w:space="0"/>
            </w:tcBorders>
            <w:tcMar>
              <w:left w:w="108" w:type="dxa"/>
              <w:right w:w="108" w:type="dxa"/>
            </w:tcMar>
            <w:vAlign w:val="center"/>
          </w:tcPr>
          <w:p>
            <w:pPr>
              <w:rPr>
                <w:rFonts w:ascii="Times New Roman" w:hAnsi="Times New Roman" w:eastAsia="华文中宋" w:cs="Times New Roman"/>
                <w:color w:val="auto"/>
                <w:szCs w:val="21"/>
              </w:rPr>
            </w:pPr>
          </w:p>
        </w:tc>
        <w:tc>
          <w:tcPr>
            <w:tcW w:w="632" w:type="dxa"/>
            <w:vMerge w:val="continue"/>
            <w:tcBorders>
              <w:top w:val="single" w:color="auto" w:sz="0" w:space="0"/>
              <w:left w:val="single" w:color="auto" w:sz="0" w:space="0"/>
              <w:bottom w:val="single"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642"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商业</w:t>
            </w:r>
          </w:p>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企业</w:t>
            </w:r>
          </w:p>
        </w:tc>
        <w:tc>
          <w:tcPr>
            <w:tcW w:w="642"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科研</w:t>
            </w:r>
          </w:p>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机构</w:t>
            </w:r>
          </w:p>
        </w:tc>
        <w:tc>
          <w:tcPr>
            <w:tcW w:w="642"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社会公益组织</w:t>
            </w:r>
          </w:p>
        </w:tc>
        <w:tc>
          <w:tcPr>
            <w:tcW w:w="642"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法律服务机构</w:t>
            </w:r>
          </w:p>
        </w:tc>
        <w:tc>
          <w:tcPr>
            <w:tcW w:w="642"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其他</w:t>
            </w:r>
          </w:p>
        </w:tc>
        <w:tc>
          <w:tcPr>
            <w:tcW w:w="642" w:type="dxa"/>
            <w:vMerge w:val="continue"/>
            <w:tcBorders>
              <w:top w:val="single" w:color="auto" w:sz="8" w:space="0"/>
              <w:left w:val="single" w:color="auto" w:sz="0" w:space="0"/>
              <w:bottom w:val="outset" w:color="auto" w:sz="8" w:space="0"/>
              <w:right w:val="single" w:color="auto" w:sz="12" w:space="0"/>
            </w:tcBorders>
            <w:tcMar>
              <w:left w:w="108" w:type="dxa"/>
              <w:right w:w="108" w:type="dxa"/>
            </w:tcMar>
            <w:vAlign w:val="center"/>
          </w:tcPr>
          <w:p>
            <w:pPr>
              <w:rPr>
                <w:rFonts w:ascii="Times New Roman" w:hAnsi="Times New Roman" w:eastAsia="华文中宋" w:cs="Times New Roman"/>
                <w:color w:val="auto"/>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tcBorders>
              <w:top w:val="nil"/>
              <w:left w:val="single" w:color="auto" w:sz="12" w:space="0"/>
              <w:bottom w:val="single"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一、本年新收政府信息公开申请数量</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1</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tcBorders>
              <w:top w:val="nil"/>
              <w:left w:val="single" w:color="auto" w:sz="12" w:space="0"/>
              <w:bottom w:val="single"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二、上年结转政府信息公开申请数量</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restart"/>
            <w:tcBorders>
              <w:top w:val="single" w:color="auto" w:sz="0" w:space="0"/>
              <w:left w:val="single" w:color="auto" w:sz="12" w:space="0"/>
              <w:bottom w:val="outset"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三、本年度办理结果</w:t>
            </w:r>
          </w:p>
        </w:tc>
        <w:tc>
          <w:tcPr>
            <w:tcW w:w="3770"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（一）予以公开</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single" w:color="auto" w:sz="8" w:space="0"/>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3770"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（二）部分公开</w:t>
            </w:r>
            <w:r>
              <w:rPr>
                <w:rFonts w:hint="eastAsia" w:ascii="Times New Roman" w:hAnsi="Times New Roman" w:eastAsia="华文中宋" w:cs="楷体"/>
                <w:color w:val="auto"/>
                <w:kern w:val="0"/>
                <w:szCs w:val="21"/>
              </w:rPr>
              <w:t>（区分处理的，只计这一情形，不计其他情形）</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（三）不予公开</w:t>
            </w: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1.属于国家秘密</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szCs w:val="21"/>
                <w:lang w:val="en-US" w:eastAsia="zh-CN"/>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single" w:color="auto" w:sz="8" w:space="0"/>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2.其他法律行政法规禁止公开</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3.危及“三安全一稳定”</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4.保护第三方合法权益</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5.属于三类内部事务信息</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6.属于四类过程性信息</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7.属于行政执法案卷</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8.属于行政查询事项</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（四）无法提供</w:t>
            </w: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1.本机关不掌握相关政府信息</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1</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2.没有现成信息需要另行制作</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3.补正后申请内容仍不明确</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（五）不予处理</w:t>
            </w: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1.信访举报投诉类申请</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2.重复申请</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3.要求提供公开出版物</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top"/>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4.无正当理由大量反复申请</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r>
              <w:rPr>
                <w:rFonts w:ascii="Times New Roman" w:hAnsi="Times New Roman" w:eastAsia="华文中宋" w:cs="Calibri"/>
                <w:color w:val="auto"/>
                <w:kern w:val="0"/>
                <w:szCs w:val="21"/>
              </w:rPr>
              <w:t> </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ascii="Times New Roman" w:hAnsi="Times New Roman" w:eastAsia="华文中宋" w:cs="Calibri"/>
                <w:color w:val="auto"/>
                <w:kern w:val="0"/>
                <w:szCs w:val="21"/>
              </w:rPr>
              <w:t> </w:t>
            </w: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779" w:hRule="atLeast"/>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5.要求行政机关确认或重新出具已获取信息</w:t>
            </w:r>
          </w:p>
        </w:tc>
        <w:tc>
          <w:tcPr>
            <w:tcW w:w="632"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single" w:color="auto" w:sz="0" w:space="0"/>
              <w:left w:val="single" w:color="auto" w:sz="0" w:space="0"/>
              <w:bottom w:val="outset"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restart"/>
            <w:tcBorders>
              <w:top w:val="outset" w:color="auto" w:sz="8" w:space="0"/>
              <w:left w:val="single" w:color="auto" w:sz="0" w:space="0"/>
              <w:bottom w:val="outset"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（六）其他处理</w:t>
            </w:r>
          </w:p>
        </w:tc>
        <w:tc>
          <w:tcPr>
            <w:tcW w:w="2908" w:type="dxa"/>
            <w:tcBorders>
              <w:top w:val="nil"/>
              <w:left w:val="nil"/>
              <w:bottom w:val="single" w:color="auto" w:sz="8" w:space="0"/>
              <w:right w:val="single" w:color="auto" w:sz="8" w:space="0"/>
            </w:tcBorders>
            <w:tcMar>
              <w:left w:w="57" w:type="dxa"/>
              <w:right w:w="57" w:type="dxa"/>
            </w:tcMar>
            <w:vAlign w:val="center"/>
          </w:tcPr>
          <w:p>
            <w:pPr>
              <w:widowControl/>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1.申请人无正当理由逾期不补正、行政机关不再处理其政府信息公开申请</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Times New Roman"/>
                <w:color w:val="auto"/>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center"/>
          </w:tcPr>
          <w:p>
            <w:pPr>
              <w:widowControl/>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2.申请人逾期未按收费通知要求缴纳费用、行政机关不再处理其政府信息公开申请</w:t>
            </w:r>
          </w:p>
        </w:tc>
        <w:tc>
          <w:tcPr>
            <w:tcW w:w="63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ascii="Times New Roman" w:hAnsi="Times New Roman" w:eastAsia="华文中宋" w:cs="Times New Roman"/>
                <w:color w:val="auto"/>
                <w:kern w:val="2"/>
                <w:sz w:val="21"/>
                <w:szCs w:val="21"/>
                <w:lang w:val="en-US" w:eastAsia="zh-CN" w:bidi="ar-SA"/>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862"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2908" w:type="dxa"/>
            <w:tcBorders>
              <w:top w:val="nil"/>
              <w:left w:val="nil"/>
              <w:bottom w:val="single"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3.其他</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704" w:type="dxa"/>
            <w:vMerge w:val="continue"/>
            <w:tcBorders>
              <w:top w:val="single" w:color="auto" w:sz="0" w:space="0"/>
              <w:left w:val="single" w:color="auto" w:sz="12" w:space="0"/>
              <w:bottom w:val="outset" w:color="auto" w:sz="8" w:space="0"/>
              <w:right w:val="single" w:color="auto" w:sz="8" w:space="0"/>
            </w:tcBorders>
            <w:tcMar>
              <w:left w:w="57" w:type="dxa"/>
              <w:right w:w="57" w:type="dxa"/>
            </w:tcMar>
            <w:vAlign w:val="center"/>
          </w:tcPr>
          <w:p>
            <w:pPr>
              <w:rPr>
                <w:rFonts w:ascii="Times New Roman" w:hAnsi="Times New Roman" w:eastAsia="华文中宋" w:cs="Times New Roman"/>
                <w:color w:val="auto"/>
                <w:szCs w:val="21"/>
              </w:rPr>
            </w:pPr>
          </w:p>
        </w:tc>
        <w:tc>
          <w:tcPr>
            <w:tcW w:w="3770"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（七）总计</w:t>
            </w:r>
          </w:p>
        </w:tc>
        <w:tc>
          <w:tcPr>
            <w:tcW w:w="63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1</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8" w:space="0"/>
              <w:right w:val="single" w:color="auto" w:sz="12" w:space="0"/>
            </w:tcBorders>
            <w:tcMar>
              <w:left w:w="57" w:type="dxa"/>
              <w:right w:w="57" w:type="dxa"/>
            </w:tcMar>
            <w:vAlign w:val="top"/>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4474" w:type="dxa"/>
            <w:gridSpan w:val="3"/>
            <w:tcBorders>
              <w:top w:val="nil"/>
              <w:left w:val="single" w:color="auto" w:sz="12" w:space="0"/>
              <w:bottom w:val="single" w:color="auto" w:sz="12" w:space="0"/>
              <w:right w:val="single" w:color="auto" w:sz="8" w:space="0"/>
            </w:tcBorders>
            <w:tcMar>
              <w:left w:w="57" w:type="dxa"/>
              <w:right w:w="57" w:type="dxa"/>
            </w:tcMar>
            <w:vAlign w:val="center"/>
          </w:tcPr>
          <w:p>
            <w:pPr>
              <w:widowControl/>
              <w:jc w:val="left"/>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四、结转下年度继续办理</w:t>
            </w:r>
          </w:p>
        </w:tc>
        <w:tc>
          <w:tcPr>
            <w:tcW w:w="632" w:type="dxa"/>
            <w:tcBorders>
              <w:top w:val="nil"/>
              <w:left w:val="nil"/>
              <w:bottom w:val="single" w:color="auto" w:sz="12" w:space="0"/>
              <w:right w:val="single" w:color="auto" w:sz="8" w:space="0"/>
            </w:tcBorders>
            <w:tcMar>
              <w:left w:w="57" w:type="dxa"/>
              <w:right w:w="57" w:type="dxa"/>
            </w:tcMar>
            <w:vAlign w:val="center"/>
          </w:tcPr>
          <w:p>
            <w:pPr>
              <w:widowControl/>
              <w:jc w:val="center"/>
              <w:rPr>
                <w:rFonts w:hint="default"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12" w:space="0"/>
              <w:right w:val="single" w:color="auto" w:sz="8" w:space="0"/>
            </w:tcBorders>
            <w:tcMar>
              <w:left w:w="57" w:type="dxa"/>
              <w:right w:w="57"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Calibri"/>
                <w:color w:val="auto"/>
                <w:kern w:val="0"/>
                <w:szCs w:val="21"/>
                <w:lang w:val="en-US" w:eastAsia="zh-CN"/>
              </w:rPr>
              <w:t>0</w:t>
            </w:r>
          </w:p>
        </w:tc>
        <w:tc>
          <w:tcPr>
            <w:tcW w:w="642" w:type="dxa"/>
            <w:tcBorders>
              <w:top w:val="nil"/>
              <w:left w:val="nil"/>
              <w:bottom w:val="single" w:color="auto" w:sz="12" w:space="0"/>
              <w:right w:val="single" w:color="auto" w:sz="12" w:space="0"/>
            </w:tcBorders>
            <w:tcMar>
              <w:left w:w="57" w:type="dxa"/>
              <w:right w:w="57" w:type="dxa"/>
            </w:tcMar>
            <w:vAlign w:val="top"/>
          </w:tcPr>
          <w:p>
            <w:pPr>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Times New Roman"/>
                <w:color w:val="auto"/>
                <w:szCs w:val="21"/>
                <w:lang w:val="en-US" w:eastAsia="zh-CN"/>
              </w:rPr>
              <w:t>0</w:t>
            </w:r>
          </w:p>
        </w:tc>
      </w:tr>
    </w:tbl>
    <w:p>
      <w:pPr>
        <w:spacing w:line="576"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四、政府信息公开行政复议、行政诉讼情况</w:t>
      </w:r>
    </w:p>
    <w:tbl>
      <w:tblPr>
        <w:tblStyle w:val="6"/>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3020" w:type="dxa"/>
            <w:gridSpan w:val="5"/>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行政复议</w:t>
            </w:r>
          </w:p>
        </w:tc>
        <w:tc>
          <w:tcPr>
            <w:tcW w:w="6040" w:type="dxa"/>
            <w:gridSpan w:val="10"/>
            <w:tcBorders>
              <w:top w:val="single" w:color="auto" w:sz="12"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结果维持</w:t>
            </w:r>
          </w:p>
        </w:tc>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结果</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纠正</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其他</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结果</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尚未</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审结</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总计</w:t>
            </w:r>
          </w:p>
        </w:tc>
        <w:tc>
          <w:tcPr>
            <w:tcW w:w="302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未经复议直接起诉</w:t>
            </w:r>
          </w:p>
        </w:tc>
        <w:tc>
          <w:tcPr>
            <w:tcW w:w="3020" w:type="dxa"/>
            <w:gridSpan w:val="5"/>
            <w:tcBorders>
              <w:top w:val="single" w:color="auto" w:sz="8"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auto"/>
                <w:szCs w:val="21"/>
              </w:rPr>
            </w:pPr>
          </w:p>
        </w:tc>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auto"/>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auto"/>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auto"/>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auto"/>
                <w:szCs w:val="21"/>
              </w:rPr>
            </w:pP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结果</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维持</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结果</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其他</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尚未</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审结</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总计</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结果</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维持</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结果</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其他</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尚未</w:t>
            </w:r>
            <w:r>
              <w:rPr>
                <w:rFonts w:hint="eastAsia" w:ascii="Times New Roman" w:hAnsi="Times New Roman" w:eastAsia="华文中宋" w:cs="宋体"/>
                <w:color w:val="auto"/>
                <w:kern w:val="0"/>
                <w:szCs w:val="21"/>
              </w:rPr>
              <w:br w:type="textWrapping"/>
            </w:r>
            <w:r>
              <w:rPr>
                <w:rFonts w:hint="eastAsia" w:ascii="Times New Roman" w:hAnsi="Times New Roman" w:eastAsia="华文中宋" w:cs="宋体"/>
                <w:color w:val="auto"/>
                <w:kern w:val="0"/>
                <w:szCs w:val="21"/>
              </w:rPr>
              <w:t>审结</w:t>
            </w:r>
          </w:p>
        </w:tc>
        <w:tc>
          <w:tcPr>
            <w:tcW w:w="604" w:type="dxa"/>
            <w:tcBorders>
              <w:top w:val="single" w:color="auto" w:sz="8"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宋体"/>
                <w:color w:val="auto"/>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tcBorders>
              <w:top w:val="nil"/>
              <w:left w:val="single" w:color="auto" w:sz="12"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黑体"/>
                <w:color w:val="auto"/>
                <w:kern w:val="0"/>
                <w:szCs w:val="21"/>
                <w:lang w:val="en-US" w:eastAsia="zh-CN"/>
              </w:rPr>
              <w:t>0</w:t>
            </w:r>
            <w:r>
              <w:rPr>
                <w:rFonts w:ascii="Times New Roman" w:hAnsi="Times New Roman" w:eastAsia="华文中宋" w:cs="黑体"/>
                <w:color w:val="auto"/>
                <w:kern w:val="0"/>
                <w:szCs w:val="21"/>
              </w:rPr>
              <w:t>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黑体"/>
                <w:color w:val="auto"/>
                <w:kern w:val="0"/>
                <w:szCs w:val="21"/>
                <w:lang w:val="en-US" w:eastAsia="zh-CN"/>
              </w:rPr>
              <w:t>0</w:t>
            </w:r>
            <w:r>
              <w:rPr>
                <w:rFonts w:hint="eastAsia" w:ascii="Times New Roman" w:hAnsi="Times New Roman" w:eastAsia="华文中宋" w:cs="黑体"/>
                <w:color w:val="auto"/>
                <w:kern w:val="0"/>
                <w:szCs w:val="21"/>
              </w:rPr>
              <w:t>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auto"/>
                <w:szCs w:val="21"/>
              </w:rPr>
            </w:pPr>
            <w:r>
              <w:rPr>
                <w:rFonts w:hint="eastAsia" w:ascii="Times New Roman" w:hAnsi="Times New Roman" w:eastAsia="华文中宋" w:cs="黑体"/>
                <w:color w:val="auto"/>
                <w:kern w:val="0"/>
                <w:szCs w:val="21"/>
                <w:lang w:val="en-US" w:eastAsia="zh-CN"/>
              </w:rPr>
              <w:t>0</w:t>
            </w:r>
            <w:r>
              <w:rPr>
                <w:rFonts w:hint="eastAsia" w:ascii="Times New Roman" w:hAnsi="Times New Roman" w:eastAsia="华文中宋" w:cs="黑体"/>
                <w:color w:val="auto"/>
                <w:kern w:val="0"/>
                <w:szCs w:val="21"/>
              </w:rPr>
              <w:t>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黑体"/>
                <w:color w:val="auto"/>
                <w:kern w:val="0"/>
                <w:szCs w:val="21"/>
              </w:rPr>
              <w:t> </w:t>
            </w:r>
            <w:r>
              <w:rPr>
                <w:rFonts w:hint="eastAsia" w:ascii="Times New Roman" w:hAnsi="Times New Roman" w:eastAsia="华文中宋" w:cs="黑体"/>
                <w:color w:val="auto"/>
                <w:kern w:val="0"/>
                <w:szCs w:val="21"/>
                <w:lang w:val="en-US" w:eastAsia="zh-CN"/>
              </w:rPr>
              <w:t>0</w:t>
            </w:r>
          </w:p>
        </w:tc>
        <w:tc>
          <w:tcPr>
            <w:tcW w:w="604" w:type="dxa"/>
            <w:tcBorders>
              <w:top w:val="nil"/>
              <w:left w:val="single" w:color="auto" w:sz="8" w:space="0"/>
              <w:bottom w:val="single" w:color="auto" w:sz="12" w:space="0"/>
              <w:right w:val="single" w:color="auto" w:sz="12" w:space="0"/>
            </w:tcBorders>
            <w:tcMar>
              <w:left w:w="108" w:type="dxa"/>
              <w:right w:w="108" w:type="dxa"/>
            </w:tcMar>
            <w:vAlign w:val="center"/>
          </w:tcPr>
          <w:p>
            <w:pPr>
              <w:jc w:val="center"/>
              <w:rPr>
                <w:rFonts w:hint="eastAsia" w:ascii="Times New Roman" w:hAnsi="Times New Roman" w:eastAsia="华文中宋" w:cs="Times New Roman"/>
                <w:color w:val="auto"/>
                <w:szCs w:val="21"/>
                <w:lang w:val="en-US" w:eastAsia="zh-CN"/>
              </w:rPr>
            </w:pPr>
            <w:r>
              <w:rPr>
                <w:rFonts w:hint="eastAsia" w:ascii="Times New Roman" w:hAnsi="Times New Roman" w:eastAsia="华文中宋" w:cs="Times New Roman"/>
                <w:color w:val="auto"/>
                <w:szCs w:val="21"/>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楷体" w:hAnsi="楷体" w:eastAsia="楷体" w:cs="楷体"/>
          <w:i w:val="0"/>
          <w:iCs w:val="0"/>
          <w:caps w:val="0"/>
          <w:color w:val="auto"/>
          <w:spacing w:val="0"/>
          <w:kern w:val="0"/>
          <w:sz w:val="32"/>
          <w:szCs w:val="32"/>
          <w:shd w:val="clear" w:fill="FFFFFF"/>
          <w:lang w:val="en-US" w:eastAsia="zh-CN" w:bidi="ar"/>
        </w:rPr>
      </w:pPr>
      <w:r>
        <w:rPr>
          <w:rFonts w:hint="eastAsia" w:ascii="楷体" w:hAnsi="楷体" w:eastAsia="楷体" w:cs="楷体"/>
          <w:i w:val="0"/>
          <w:iCs w:val="0"/>
          <w:caps w:val="0"/>
          <w:color w:val="auto"/>
          <w:spacing w:val="0"/>
          <w:kern w:val="0"/>
          <w:sz w:val="32"/>
          <w:szCs w:val="32"/>
          <w:shd w:val="clear" w:fill="FFFFFF"/>
          <w:lang w:val="en-US" w:eastAsia="zh-CN" w:bidi="ar"/>
        </w:rPr>
        <w:t>（一）存在的问题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1、未能充分掌握政务公开考核指标和具体内容，有些栏目存在更新信息不符合要求的情况。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2、公示信息与本单位职能和社会热点联系不够密切，有些工作存在做了却没有及时公示的情况。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（二）下一步打算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深学细研考核指标，及时有效更新信息。仔细研读政务公开重点工作清单、考评指标体系与考察点，根据重点工作安排和考评要点，结合工作实际发布信息。对于拿不准的信息，报经区政务公开办审核后发布。定期排查网站信息，及时有效更新内容。在每个月末和季度末定期排查，根据考核指标要求及时有效更新栏目信息，没有相关信息的栏目发布情况说明，确保信息按时公示，正确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主动对接业务股室，动态更新工作进展。加强与业务股室和政府采购中心的沟通对接，及时掌握本单位重点工作开展情况，动态更新招投标领域营商环境问题线索征集、信用评价、中标贷等工作开展情况，保障公众知情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楷体" w:hAnsi="楷体" w:eastAsia="楷体" w:cs="楷体"/>
          <w:i w:val="0"/>
          <w:iCs w:val="0"/>
          <w:caps w:val="0"/>
          <w:color w:val="auto"/>
          <w:spacing w:val="0"/>
          <w:kern w:val="0"/>
          <w:sz w:val="32"/>
          <w:szCs w:val="32"/>
          <w:shd w:val="clear" w:fill="FFFFFF"/>
          <w:lang w:val="en-US" w:eastAsia="zh-CN" w:bidi="ar"/>
        </w:rPr>
      </w:pPr>
      <w:r>
        <w:rPr>
          <w:rFonts w:hint="eastAsia" w:ascii="楷体" w:hAnsi="楷体" w:eastAsia="楷体" w:cs="楷体"/>
          <w:i w:val="0"/>
          <w:iCs w:val="0"/>
          <w:caps w:val="0"/>
          <w:color w:val="auto"/>
          <w:spacing w:val="0"/>
          <w:kern w:val="0"/>
          <w:sz w:val="32"/>
          <w:szCs w:val="32"/>
          <w:shd w:val="clear" w:fill="FFFFFF"/>
          <w:lang w:val="en-US" w:eastAsia="zh-CN" w:bidi="ar"/>
        </w:rPr>
        <w:t>（三）上年度存在问题整改情况</w:t>
      </w:r>
    </w:p>
    <w:p>
      <w:pPr>
        <w:pStyle w:val="5"/>
        <w:keepNext w:val="0"/>
        <w:keepLines w:val="0"/>
        <w:widowControl w:val="0"/>
        <w:suppressLineNumbers w:val="0"/>
        <w:spacing w:before="0" w:beforeAutospacing="0" w:after="0" w:afterAutospacing="0" w:line="572" w:lineRule="exact"/>
        <w:ind w:left="0" w:leftChars="0" w:right="0"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w:t>
      </w:r>
      <w:r>
        <w:rPr>
          <w:rFonts w:hint="eastAsia" w:ascii="仿宋_GB2312" w:hAnsi="仿宋_GB2312" w:eastAsia="仿宋_GB2312" w:cs="仿宋_GB2312"/>
          <w:i w:val="0"/>
          <w:iCs w:val="0"/>
          <w:caps w:val="0"/>
          <w:color w:val="auto"/>
          <w:spacing w:val="0"/>
          <w:kern w:val="2"/>
          <w:sz w:val="32"/>
          <w:szCs w:val="32"/>
          <w:shd w:val="clear" w:fill="FFFFFF"/>
          <w:lang w:val="en-US" w:eastAsia="zh-CN"/>
        </w:rPr>
        <w:t>针对上年度</w:t>
      </w:r>
      <w:r>
        <w:rPr>
          <w:rFonts w:hint="eastAsia" w:ascii="仿宋_GB2312" w:hAnsi="仿宋_GB2312" w:eastAsia="仿宋_GB2312" w:cs="仿宋_GB2312"/>
          <w:i w:val="0"/>
          <w:iCs w:val="0"/>
          <w:caps w:val="0"/>
          <w:color w:val="auto"/>
          <w:spacing w:val="0"/>
          <w:kern w:val="2"/>
          <w:sz w:val="32"/>
          <w:szCs w:val="32"/>
          <w:shd w:val="clear" w:fill="FFFFFF"/>
        </w:rPr>
        <w:t>部分需要监督管理单位考核认定</w:t>
      </w:r>
      <w:r>
        <w:rPr>
          <w:rFonts w:hint="eastAsia" w:ascii="仿宋_GB2312" w:hAnsi="仿宋_GB2312" w:eastAsia="仿宋_GB2312" w:cs="仿宋_GB2312"/>
          <w:i w:val="0"/>
          <w:iCs w:val="0"/>
          <w:caps w:val="0"/>
          <w:color w:val="auto"/>
          <w:spacing w:val="0"/>
          <w:kern w:val="2"/>
          <w:sz w:val="32"/>
          <w:szCs w:val="32"/>
          <w:shd w:val="clear" w:fill="FFFFFF"/>
          <w:lang w:val="en-US" w:eastAsia="zh-CN"/>
        </w:rPr>
        <w:t>才能公示的栏目信息，</w:t>
      </w:r>
      <w:r>
        <w:rPr>
          <w:rFonts w:hint="eastAsia" w:ascii="仿宋_GB2312" w:hAnsi="仿宋_GB2312" w:eastAsia="仿宋_GB2312" w:cs="仿宋_GB2312"/>
          <w:i w:val="0"/>
          <w:iCs w:val="0"/>
          <w:caps w:val="0"/>
          <w:color w:val="auto"/>
          <w:spacing w:val="0"/>
          <w:kern w:val="2"/>
          <w:sz w:val="32"/>
          <w:szCs w:val="32"/>
          <w:shd w:val="clear" w:fill="FFFFFF"/>
        </w:rPr>
        <w:t>如集中采购机构考核结果、</w:t>
      </w:r>
      <w:r>
        <w:rPr>
          <w:rFonts w:hint="eastAsia" w:ascii="仿宋_GB2312" w:hAnsi="仿宋_GB2312" w:eastAsia="仿宋_GB2312" w:cs="仿宋_GB2312"/>
          <w:i w:val="0"/>
          <w:iCs w:val="0"/>
          <w:caps w:val="0"/>
          <w:color w:val="auto"/>
          <w:spacing w:val="0"/>
          <w:kern w:val="2"/>
          <w:sz w:val="32"/>
          <w:szCs w:val="32"/>
          <w:shd w:val="clear" w:fill="FFFFFF"/>
          <w:lang w:val="en-US" w:eastAsia="zh-CN"/>
        </w:rPr>
        <w:t>政府</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采购</w:t>
      </w:r>
      <w:r>
        <w:rPr>
          <w:rFonts w:hint="eastAsia" w:ascii="仿宋_GB2312" w:hAnsi="仿宋_GB2312" w:eastAsia="仿宋_GB2312" w:cs="仿宋_GB2312"/>
          <w:i w:val="0"/>
          <w:iCs w:val="0"/>
          <w:caps w:val="0"/>
          <w:color w:val="auto"/>
          <w:spacing w:val="0"/>
          <w:kern w:val="2"/>
          <w:sz w:val="32"/>
          <w:szCs w:val="32"/>
          <w:shd w:val="clear" w:fill="FFFFFF"/>
        </w:rPr>
        <w:t>投诉与监督检查处理决定</w:t>
      </w:r>
      <w:r>
        <w:rPr>
          <w:rFonts w:hint="eastAsia" w:ascii="仿宋_GB2312" w:hAnsi="仿宋_GB2312" w:eastAsia="仿宋_GB2312" w:cs="仿宋_GB2312"/>
          <w:i w:val="0"/>
          <w:iCs w:val="0"/>
          <w:caps w:val="0"/>
          <w:color w:val="auto"/>
          <w:spacing w:val="0"/>
          <w:kern w:val="2"/>
          <w:sz w:val="32"/>
          <w:szCs w:val="32"/>
          <w:shd w:val="clear" w:fill="FFFFFF"/>
          <w:lang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信用奖惩信息、违法违规处罚信息等，目前已对接区政务公开办</w:t>
      </w:r>
      <w:r>
        <w:rPr>
          <w:rFonts w:hint="eastAsia" w:ascii="仿宋_GB2312" w:hAnsi="仿宋_GB2312" w:eastAsia="仿宋_GB2312" w:cs="仿宋_GB2312"/>
          <w:i w:val="0"/>
          <w:iCs w:val="0"/>
          <w:caps w:val="0"/>
          <w:color w:val="auto"/>
          <w:spacing w:val="0"/>
          <w:kern w:val="2"/>
          <w:sz w:val="32"/>
          <w:szCs w:val="32"/>
          <w:shd w:val="clear" w:fill="FFFFFF"/>
          <w:lang w:eastAsia="zh-CN"/>
        </w:rPr>
        <w:t>，</w:t>
      </w:r>
      <w:r>
        <w:rPr>
          <w:rFonts w:hint="eastAsia" w:ascii="仿宋_GB2312" w:hAnsi="仿宋_GB2312" w:eastAsia="仿宋_GB2312" w:cs="仿宋_GB2312"/>
          <w:i w:val="0"/>
          <w:iCs w:val="0"/>
          <w:caps w:val="0"/>
          <w:color w:val="auto"/>
          <w:spacing w:val="0"/>
          <w:kern w:val="2"/>
          <w:sz w:val="32"/>
          <w:szCs w:val="32"/>
          <w:shd w:val="clear" w:fill="FFFFFF"/>
          <w:lang w:val="en-US" w:eastAsia="zh-CN"/>
        </w:rPr>
        <w:t>根据相关文件精神变更上述栏目发布主体权限。</w:t>
      </w:r>
    </w:p>
    <w:p>
      <w:pPr>
        <w:pStyle w:val="5"/>
        <w:keepNext w:val="0"/>
        <w:keepLines w:val="0"/>
        <w:widowControl w:val="0"/>
        <w:suppressLineNumbers w:val="0"/>
        <w:spacing w:before="0" w:beforeAutospacing="0" w:after="0" w:afterAutospacing="0" w:line="572" w:lineRule="exact"/>
        <w:ind w:left="0" w:leftChars="0" w:right="0" w:firstLine="640" w:firstLineChars="200"/>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eastAsia" w:ascii="仿宋_GB2312" w:eastAsia="仿宋_GB2312" w:cs="仿宋_GB2312"/>
          <w:i w:val="0"/>
          <w:iCs w:val="0"/>
          <w:caps w:val="0"/>
          <w:color w:val="auto"/>
          <w:spacing w:val="0"/>
          <w:kern w:val="2"/>
          <w:sz w:val="32"/>
          <w:szCs w:val="32"/>
          <w:shd w:val="clear" w:fill="FFFFFF"/>
          <w:lang w:val="en-US" w:eastAsia="zh-CN"/>
        </w:rPr>
        <w:t>2、针对上年度</w:t>
      </w:r>
      <w:r>
        <w:rPr>
          <w:rFonts w:ascii="仿宋_GB2312" w:eastAsia="仿宋_GB2312" w:cs="仿宋_GB2312"/>
          <w:i w:val="0"/>
          <w:iCs w:val="0"/>
          <w:caps w:val="0"/>
          <w:spacing w:val="0"/>
          <w:kern w:val="2"/>
          <w:sz w:val="32"/>
          <w:szCs w:val="32"/>
          <w:shd w:val="clear" w:fill="FFFFFF"/>
        </w:rPr>
        <w:t>政策解读</w:t>
      </w:r>
      <w:r>
        <w:rPr>
          <w:rFonts w:hint="eastAsia" w:ascii="仿宋_GB2312" w:eastAsia="仿宋_GB2312" w:cs="仿宋_GB2312"/>
          <w:i w:val="0"/>
          <w:iCs w:val="0"/>
          <w:caps w:val="0"/>
          <w:spacing w:val="0"/>
          <w:kern w:val="2"/>
          <w:sz w:val="32"/>
          <w:szCs w:val="32"/>
          <w:shd w:val="clear" w:fill="FFFFFF"/>
          <w:lang w:val="en-US" w:eastAsia="zh-CN"/>
        </w:rPr>
        <w:t>较</w:t>
      </w:r>
      <w:r>
        <w:rPr>
          <w:rFonts w:hint="eastAsia" w:ascii="仿宋_GB2312" w:eastAsia="仿宋_GB2312" w:cs="仿宋_GB2312"/>
          <w:i w:val="0"/>
          <w:iCs w:val="0"/>
          <w:caps w:val="0"/>
          <w:spacing w:val="0"/>
          <w:kern w:val="2"/>
          <w:sz w:val="32"/>
          <w:szCs w:val="32"/>
          <w:shd w:val="clear" w:fill="FFFFFF"/>
        </w:rPr>
        <w:t>少</w:t>
      </w:r>
      <w:r>
        <w:rPr>
          <w:rFonts w:hint="eastAsia" w:ascii="仿宋_GB2312" w:hAnsi="仿宋_GB2312" w:eastAsia="仿宋_GB2312" w:cs="仿宋_GB2312"/>
          <w:i w:val="0"/>
          <w:iCs w:val="0"/>
          <w:caps w:val="0"/>
          <w:color w:val="auto"/>
          <w:spacing w:val="0"/>
          <w:kern w:val="2"/>
          <w:sz w:val="32"/>
          <w:szCs w:val="32"/>
          <w:shd w:val="clear" w:fill="FFFFFF"/>
          <w:lang w:val="en-US" w:eastAsia="zh-CN"/>
        </w:rPr>
        <w:t>的问题，深度挖掘网络资源提高政策解读质量，结合本单位性质职能、</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重点工作内容和相关的社会热点，积极查找上级部门单位和专家学者对最新政策的解读，以及专业媒体评论，提高政策解读信息的质量，以更高站位理解政策出台目的和落地实施要求。</w:t>
      </w:r>
      <w:r>
        <w:rPr>
          <w:rFonts w:hint="eastAsia" w:ascii="仿宋_GB2312" w:hAnsi="仿宋_GB2312" w:eastAsia="仿宋_GB2312" w:cs="仿宋_GB2312"/>
          <w:i w:val="0"/>
          <w:iCs w:val="0"/>
          <w:caps w:val="0"/>
          <w:color w:val="auto"/>
          <w:spacing w:val="0"/>
          <w:sz w:val="32"/>
          <w:szCs w:val="32"/>
          <w:shd w:val="clear" w:fill="FFFFFF"/>
        </w:rPr>
        <w:t>2023年转发上级部门和专家学者解读6篇、媒体评论3篇、图片解读8篇</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制作</w:t>
      </w:r>
      <w:r>
        <w:rPr>
          <w:rFonts w:hint="eastAsia" w:ascii="仿宋_GB2312" w:hAnsi="仿宋_GB2312" w:eastAsia="仿宋_GB2312" w:cs="仿宋_GB2312"/>
          <w:i w:val="0"/>
          <w:iCs w:val="0"/>
          <w:caps w:val="0"/>
          <w:color w:val="auto"/>
          <w:spacing w:val="0"/>
          <w:sz w:val="32"/>
          <w:szCs w:val="32"/>
          <w:shd w:val="clear" w:fill="FFFFFF"/>
        </w:rPr>
        <w:t>视频解读</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篇，召开新闻发布会1次。</w:t>
      </w:r>
      <w:r>
        <w:rPr>
          <w:rFonts w:hint="eastAsia" w:ascii="仿宋_GB2312" w:hAnsi="仿宋_GB2312" w:eastAsia="仿宋_GB2312" w:cs="仿宋_GB2312"/>
          <w:i w:val="0"/>
          <w:iCs w:val="0"/>
          <w:caps w:val="0"/>
          <w:color w:val="auto"/>
          <w:spacing w:val="0"/>
          <w:sz w:val="32"/>
          <w:szCs w:val="32"/>
          <w:shd w:val="clear" w:fill="FFFFFF"/>
          <w:lang w:val="en-US" w:eastAsia="zh-CN"/>
        </w:rPr>
        <w:t>针对上年度无应急管理信息的问题，</w:t>
      </w:r>
      <w:r>
        <w:rPr>
          <w:rFonts w:hint="eastAsia" w:ascii="仿宋_GB2312" w:hAnsi="仿宋_GB2312" w:eastAsia="仿宋_GB2312" w:cs="仿宋_GB2312"/>
          <w:i w:val="0"/>
          <w:iCs w:val="0"/>
          <w:caps w:val="0"/>
          <w:color w:val="auto"/>
          <w:spacing w:val="0"/>
          <w:kern w:val="2"/>
          <w:sz w:val="32"/>
          <w:szCs w:val="32"/>
          <w:shd w:val="clear" w:fill="FFFFFF"/>
          <w:lang w:val="en-US" w:eastAsia="zh-CN"/>
        </w:rPr>
        <w:t>对接信息股制定并公示公共资源交易平台系统安全管理工作制度。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按照《国务院办公厅关于印发〈政府信息公开信息处理费管理办法〉的通知》（国办函〔</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2020</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109</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号）规定的按件、按量收费标准，本年度没有产生信息公开处理费。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p>
    <w:sectPr>
      <w:footerReference r:id="rId3" w:type="default"/>
      <w:pgSz w:w="11906" w:h="16838"/>
      <w:pgMar w:top="1440" w:right="1179" w:bottom="1440" w:left="112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NDc0NTBkMWE4YWVmNTg0YWMyZmEwNjYzMmFlY2QifQ=="/>
  </w:docVars>
  <w:rsids>
    <w:rsidRoot w:val="00000000"/>
    <w:rsid w:val="016347D7"/>
    <w:rsid w:val="02CB7F49"/>
    <w:rsid w:val="0F2D2C21"/>
    <w:rsid w:val="12121A1C"/>
    <w:rsid w:val="182270BC"/>
    <w:rsid w:val="185D22CD"/>
    <w:rsid w:val="1EE13CE8"/>
    <w:rsid w:val="21BC4878"/>
    <w:rsid w:val="26E1771A"/>
    <w:rsid w:val="27AA5FDD"/>
    <w:rsid w:val="28535923"/>
    <w:rsid w:val="327613D0"/>
    <w:rsid w:val="3F293972"/>
    <w:rsid w:val="45B64BBD"/>
    <w:rsid w:val="5272660A"/>
    <w:rsid w:val="595C5313"/>
    <w:rsid w:val="604A4D22"/>
    <w:rsid w:val="6E864525"/>
    <w:rsid w:val="706A6214"/>
    <w:rsid w:val="77AC6E32"/>
    <w:rsid w:val="7CB307CC"/>
    <w:rsid w:val="7F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rPr>
      <w:sz w:val="24"/>
    </w:rPr>
  </w:style>
  <w:style w:type="character" w:styleId="8">
    <w:name w:val="Strong"/>
    <w:basedOn w:val="7"/>
    <w:autoRedefine/>
    <w:qFormat/>
    <w:uiPriority w:val="0"/>
    <w:rPr>
      <w:b/>
      <w:bCs/>
    </w:rPr>
  </w:style>
  <w:style w:type="character" w:styleId="9">
    <w:name w:val="FollowedHyperlink"/>
    <w:basedOn w:val="7"/>
    <w:autoRedefine/>
    <w:qFormat/>
    <w:uiPriority w:val="0"/>
    <w:rPr>
      <w:color w:val="333333"/>
      <w:u w:val="none"/>
    </w:rPr>
  </w:style>
  <w:style w:type="character" w:styleId="10">
    <w:name w:val="HTML Definition"/>
    <w:basedOn w:val="7"/>
    <w:qFormat/>
    <w:uiPriority w:val="0"/>
    <w:rPr>
      <w:i/>
      <w:iCs/>
    </w:rPr>
  </w:style>
  <w:style w:type="character" w:styleId="11">
    <w:name w:val="HTML Acronym"/>
    <w:basedOn w:val="7"/>
    <w:autoRedefine/>
    <w:qFormat/>
    <w:uiPriority w:val="0"/>
  </w:style>
  <w:style w:type="character" w:styleId="12">
    <w:name w:val="Hyperlink"/>
    <w:basedOn w:val="7"/>
    <w:autoRedefine/>
    <w:qFormat/>
    <w:uiPriority w:val="0"/>
    <w:rPr>
      <w:color w:val="333333"/>
      <w:u w:val="none"/>
    </w:rPr>
  </w:style>
  <w:style w:type="character" w:styleId="13">
    <w:name w:val="HTML Code"/>
    <w:basedOn w:val="7"/>
    <w:qFormat/>
    <w:uiPriority w:val="0"/>
    <w:rPr>
      <w:rFonts w:ascii="monospace" w:hAnsi="monospace" w:eastAsia="monospace" w:cs="monospace"/>
      <w:sz w:val="21"/>
      <w:szCs w:val="21"/>
    </w:rPr>
  </w:style>
  <w:style w:type="character" w:styleId="14">
    <w:name w:val="HTML Keyboard"/>
    <w:basedOn w:val="7"/>
    <w:autoRedefine/>
    <w:qFormat/>
    <w:uiPriority w:val="0"/>
    <w:rPr>
      <w:rFonts w:hint="default" w:ascii="monospace" w:hAnsi="monospace" w:eastAsia="monospace" w:cs="monospace"/>
      <w:sz w:val="21"/>
      <w:szCs w:val="21"/>
    </w:rPr>
  </w:style>
  <w:style w:type="character" w:styleId="15">
    <w:name w:val="HTML Sample"/>
    <w:basedOn w:val="7"/>
    <w:autoRedefine/>
    <w:qFormat/>
    <w:uiPriority w:val="0"/>
    <w:rPr>
      <w:rFonts w:hint="default" w:ascii="monospace" w:hAnsi="monospace" w:eastAsia="monospace" w:cs="monospace"/>
      <w:sz w:val="21"/>
      <w:szCs w:val="21"/>
    </w:rPr>
  </w:style>
  <w:style w:type="character" w:customStyle="1" w:styleId="16">
    <w:name w:val="tmpztreemove_arrow"/>
    <w:basedOn w:val="7"/>
    <w:autoRedefine/>
    <w:qFormat/>
    <w:uiPriority w:val="0"/>
  </w:style>
  <w:style w:type="character" w:customStyle="1" w:styleId="17">
    <w:name w:val="button"/>
    <w:basedOn w:val="7"/>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2022-11-29T10:20:00Z</dcterms:created>
  <dc:creator>Administrator</dc:creator>
  <cp:lastModifiedBy>向阳而生</cp:lastModifiedBy>
  <cp:lastPrinted>2024-01-24T09:01:58Z</cp:lastPrinted>
  <dcterms:modified xsi:type="dcterms:W3CDTF">2024-01-24T09:34:31Z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BD27330A13684DF982561A0FDDA70149_13</vt:lpwstr>
  </property>
</Properties>
</file>