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  <w:t>六安市叶集区人民政府办公室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本报告根据《中华人民共和国政府信息公开条例》（国务院令第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711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号，以下简称新《条例》）及省市有关文件要求，由区政府办公室结合统计数据编制而成。报告的全文主要包括总体情况、主动公开政府信息情况、收到和处理政府信息公开申请情况、政府信息公开行政复议、行政诉讼情况、存在的主要问题及改进情况和其他需要报告事项。本报告中使用数据统计期限为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日至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12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31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日，报告的电子版可在六安市叶集区人民政府信息公开网（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http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://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www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ahyeji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gov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cn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/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public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/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index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html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）下载。如对本报告有任何疑问，请与六安市叶集区人民政府办公室联系（地址：六安市叶集区行政中心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楼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231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室，电话：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0564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--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2770030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，邮编：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237431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（一）主动公开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年，我办坚持做好主动公开工作，提升政务公开工作质效。推进经济领域信息公开，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全面公开减税降费、助企纾困政策，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扩大有效投资、重大建设项目信息的有序公开，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以公开助力优化营商环境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规范发布财政资金、重要部署执行、应急管理、国民经济和社会发展统计等信息，加强行政执法信息公示，依据最新权责清单调整权力目录，做好行政权力运行结果的公开；及时公开规范性文件，参照标准格式，以行政规范性文件库为发布载体，做好文件的集中分类发布，全年新公开有效文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件；做好政策解读，规范性文件和重大行政决策实现解读全配套，利用媒体解读、新闻发布会和在线访谈增强解读效果，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年共发布文字解读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篇、图解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个、视频解读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个、媒体解读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个、新闻发布会和在线访谈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场；围绕就业、教育、医疗等社会热点，主动发布各类回应信息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条；维护基层两化领域，及时更新动态信息、清理失效信息，排查静态信息有效性，年度公开信息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4998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条；推进公共企事业单位专题建设，实现教育、卫生、交通、供电供水等公共企事业单位信息的集中公开。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（二）依申请公开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落实依申请公开办理制度，严把时间节点，规范办理流程。与申请人充分沟通，了解申请诉求，精准分析研判。加强部门联动，协调司法部门与办件涉及单位密切配合，确保答复内容规范严谨。依托依申请公开平台做好办件的全流程录入，线下件“即收即录”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年，我办新收依申请公开件14件，其中结转下年继续办理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（三）政府信息管理</w:t>
      </w:r>
    </w:p>
    <w:p>
      <w:pPr>
        <w:numPr>
          <w:ilvl w:val="0"/>
          <w:numId w:val="0"/>
        </w:numPr>
        <w:tabs>
          <w:tab w:val="left" w:pos="7980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定期更新动态信息、清理失效信息，常态化监测表述错误、错敏词、隐私泄露等问题。全面排查规范性文件公开格式，确保文件按照省级格式规范展示，并按照最新清理结果对规范性文件进行整理和分类。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（四）政府信息公开平台建设</w:t>
      </w:r>
    </w:p>
    <w:p>
      <w:pPr>
        <w:numPr>
          <w:ilvl w:val="0"/>
          <w:numId w:val="0"/>
        </w:numPr>
        <w:tabs>
          <w:tab w:val="left" w:pos="7980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设恢复和扩大消费信息公开专栏，公开相关政策文件、工作成效和落实信息。完成公共企事业单位、集成式政策解读库专题建设。常态化维护政策文件库专题，新印发文件及时推送至文件库中展示，确保行政规范性文件专栏与政策文件库数据一致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（五）监督保障</w:t>
      </w:r>
    </w:p>
    <w:p>
      <w:pPr>
        <w:numPr>
          <w:ilvl w:val="0"/>
          <w:numId w:val="0"/>
        </w:numPr>
        <w:tabs>
          <w:tab w:val="left" w:pos="7980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工作群交流、跟班学习等加强对单位的监督指导，全年组织跟班学习59次。不定时发布工作提示单，督促单位提升工作质效。开展“季度性+日常性”政务公开工作测评并定期通报，以测评结果量化工作效果、推进问题整改、推进工作落实。联合区委督查办，对工作开展不力的单位进行政务公开督查，并形成督查通报。</w:t>
      </w:r>
    </w:p>
    <w:p>
      <w:pPr>
        <w:spacing w:line="576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二、主动公开政府信息情况</w:t>
      </w:r>
    </w:p>
    <w:tbl>
      <w:tblPr>
        <w:tblStyle w:val="5"/>
        <w:tblW w:w="895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2240"/>
        <w:gridCol w:w="2239"/>
        <w:gridCol w:w="223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9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2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2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95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7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7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95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7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7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7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95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71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71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576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三、收到和处理政府信息公开申请情况</w:t>
      </w:r>
    </w:p>
    <w:tbl>
      <w:tblPr>
        <w:tblStyle w:val="5"/>
        <w:tblW w:w="9745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</w:tbl>
    <w:p>
      <w:pPr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四、政府信息公开行政复议、行政诉讼情况</w:t>
      </w:r>
    </w:p>
    <w:tbl>
      <w:tblPr>
        <w:tblStyle w:val="5"/>
        <w:tblW w:w="9743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本年度存在的主要问题：一是公开形式和公开渠道不多样，缺少对新兴技术和手段的充分利用。二是政府部门领导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、专家等从不同角度对同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重要政策文件进行多次解读较少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上年度存在问题整改情况：针对上年度“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意见征集渠道单一，群众参与度不高，留言量较少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”的问题，我办通过开展意见征集座谈会、邀请企业参加政府会议等方式，拓宽意见征集渠道，增强征集效果，全年通过座谈会进行意见征集5次，邀请企业参加政府会议5次。针对“关系社会民生的政策文件与相应解读的宣传力度不到位，造成社会知晓度、关注度不足”的问题，我办不断丰富宣传渠道，利用政务公开专区、新媒体账号多方式进行政策文件与相应解读的宣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下一步改进措施：一是充分利用政务公开专区，开展贴近群众的线下活动，以实地的活动丰富公开形式和公开渠道，同时利用新媒体平台进一步增强公开效果。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二是加强邀请政府部门领导和专家利用新闻发布会、署名文章、在线访谈等形式对政策文件进行充分解读，切实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提高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解读质量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做好公共企事业单位专题建设。组织公共企事业单位主管部门分别对教育教学、卫生健康、交通运输、水电气等领域的公共企事业单位主体情况调查摸底，理清全区企事业单位主体类型和数量，依据便民原则、结合本区实际，设计专题呈现形式，分领域、分层级、分主体公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企事业单位信息。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做好集成式政策解读库专题建设。按照生命周期、解读形式分类陈列政策解读信息，启动乡镇街政策解读“直通车”并提供政策文件库、政务服务平台“一键直达”功能，设置搜索框，方便群众查找信息。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按照《国务院办公厅关于印发〈政府信息公开信息处理费管理办法〉的通知》（国办函〔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2020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109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号）规定的按件、按量收费标准，本年度没有产生信息公开处理费。</w:t>
      </w:r>
    </w:p>
    <w:p>
      <w:pPr>
        <w:numPr>
          <w:ilvl w:val="0"/>
          <w:numId w:val="0"/>
        </w:numPr>
        <w:tabs>
          <w:tab w:val="left" w:pos="798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N2FmNDEwNjkyZTk5Zjk5YWEzM2QxYjJiNzU3MDkifQ=="/>
  </w:docVars>
  <w:rsids>
    <w:rsidRoot w:val="5FC71C28"/>
    <w:rsid w:val="04DC353F"/>
    <w:rsid w:val="0504195A"/>
    <w:rsid w:val="09124665"/>
    <w:rsid w:val="091475CD"/>
    <w:rsid w:val="18202483"/>
    <w:rsid w:val="1DCB713F"/>
    <w:rsid w:val="1ECA274A"/>
    <w:rsid w:val="206E1355"/>
    <w:rsid w:val="21F629E2"/>
    <w:rsid w:val="23396AC7"/>
    <w:rsid w:val="30586541"/>
    <w:rsid w:val="35AC34D5"/>
    <w:rsid w:val="36975F91"/>
    <w:rsid w:val="3A7506BC"/>
    <w:rsid w:val="3B874077"/>
    <w:rsid w:val="3F314900"/>
    <w:rsid w:val="44691233"/>
    <w:rsid w:val="536829C0"/>
    <w:rsid w:val="57BB2DB0"/>
    <w:rsid w:val="5A2B3057"/>
    <w:rsid w:val="5AB730B6"/>
    <w:rsid w:val="5BDB7F8C"/>
    <w:rsid w:val="5C0362F9"/>
    <w:rsid w:val="5FC71C28"/>
    <w:rsid w:val="6E45313C"/>
    <w:rsid w:val="6ECA77DF"/>
    <w:rsid w:val="72C15774"/>
    <w:rsid w:val="73203F4F"/>
    <w:rsid w:val="7394282C"/>
    <w:rsid w:val="74454348"/>
    <w:rsid w:val="757964A1"/>
    <w:rsid w:val="79D5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2023-12-12T10:11:00Z</dcterms:created>
  <dc:creator>Administrator</dc:creator>
  <cp:lastModifiedBy>周圆圆</cp:lastModifiedBy>
  <dcterms:modified xsi:type="dcterms:W3CDTF">2024-02-01T01:50:10Z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056FC26D2F364D4E92508CCBF6C64B1D_12</vt:lpwstr>
  </property>
</Properties>
</file>