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bookmarkStart w:id="0" w:name="_GoBack"/>
      <w:r>
        <w:rPr>
          <w:rFonts w:hint="eastAsia" w:ascii="微软雅黑" w:hAnsi="微软雅黑" w:eastAsia="微软雅黑" w:cs="微软雅黑"/>
          <w:b w:val="0"/>
          <w:bCs w:val="0"/>
          <w:i w:val="0"/>
          <w:iCs w:val="0"/>
          <w:caps w:val="0"/>
          <w:color w:val="333333"/>
          <w:spacing w:val="0"/>
          <w:sz w:val="45"/>
          <w:szCs w:val="45"/>
          <w:bdr w:val="none" w:color="auto" w:sz="0" w:space="0"/>
        </w:rPr>
        <w:t>规模以上服务业统计报表制度主要内容（2022年统计年报和2023年定期统计报表）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ascii="Calibri" w:hAnsi="Calibri" w:cs="Calibri"/>
          <w:sz w:val="21"/>
          <w:szCs w:val="21"/>
        </w:rPr>
      </w:pPr>
      <w:r>
        <w:rPr>
          <w:rFonts w:hint="default" w:ascii="Calibri" w:hAnsi="Calibri" w:eastAsia="微软雅黑" w:cs="Calibri"/>
          <w:i w:val="0"/>
          <w:iCs w:val="0"/>
          <w:caps w:val="0"/>
          <w:color w:val="333333"/>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ascii="黑体" w:hAnsi="宋体" w:eastAsia="黑体" w:cs="黑体"/>
          <w:i w:val="0"/>
          <w:iCs w:val="0"/>
          <w:caps w:val="0"/>
          <w:color w:val="333333"/>
          <w:spacing w:val="8"/>
          <w:sz w:val="32"/>
          <w:szCs w:val="32"/>
          <w:bdr w:val="none" w:color="auto" w:sz="0" w:space="0"/>
        </w:rPr>
        <w:t>一、</w:t>
      </w:r>
      <w:r>
        <w:rPr>
          <w:rFonts w:hint="eastAsia" w:ascii="黑体" w:hAnsi="宋体" w:eastAsia="黑体" w:cs="黑体"/>
          <w:i w:val="0"/>
          <w:iCs w:val="0"/>
          <w:caps w:val="0"/>
          <w:color w:val="333333"/>
          <w:spacing w:val="8"/>
          <w:sz w:val="32"/>
          <w:szCs w:val="32"/>
          <w:bdr w:val="none" w:color="auto" w:sz="0" w:space="0"/>
        </w:rPr>
        <w:t>调查目的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ascii="仿宋" w:hAnsi="仿宋" w:eastAsia="仿宋" w:cs="仿宋"/>
          <w:i w:val="0"/>
          <w:iCs w:val="0"/>
          <w:caps w:val="0"/>
          <w:color w:val="333333"/>
          <w:spacing w:val="8"/>
          <w:sz w:val="32"/>
          <w:szCs w:val="32"/>
          <w:bdr w:val="none" w:color="auto" w:sz="0" w:space="0"/>
        </w:rPr>
        <w:t>建立统一、规范的服务业统计，全面反映服务业发展状况，为各级政府进行宏观管理和决策提供依据，为国民经济核算提供基础数据。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黑体" w:hAnsi="宋体" w:eastAsia="黑体" w:cs="黑体"/>
          <w:i w:val="0"/>
          <w:iCs w:val="0"/>
          <w:caps w:val="0"/>
          <w:color w:val="333333"/>
          <w:spacing w:val="8"/>
          <w:sz w:val="32"/>
          <w:szCs w:val="32"/>
          <w:bdr w:val="none" w:color="auto" w:sz="0" w:space="0"/>
        </w:rPr>
        <w:t>二、调查对象和范围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在全国31个省、自治区和直辖市内从事服务业生产经营活动的规模以上服务业法人单位。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辖区内年营业收入2000万元及以上服务业法人单位。包括：交通运输、仓储和邮政业，信息传输、软件和信息技术服务业，水利、环境和公共设施管理业三个行业门类和卫生行业大类。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辖区内年营业收入1000万元及以上服务业法人单位。包括：租赁和商务服务业，科学研究和技术服务业，教育行业三个门类，以及物业管理、房地产中介服务、房地产租赁经营和其他房地产业四个行业小类。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辖区内年营业收入500万元及以上服务业法人单位。包括：居民服务、修理和其他服务业，文化、体育和娱乐业两个门类，以及社会工作行业大类。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黑体" w:hAnsi="宋体" w:eastAsia="黑体" w:cs="黑体"/>
          <w:i w:val="0"/>
          <w:iCs w:val="0"/>
          <w:caps w:val="0"/>
          <w:color w:val="333333"/>
          <w:spacing w:val="8"/>
          <w:sz w:val="32"/>
          <w:szCs w:val="32"/>
          <w:bdr w:val="none" w:color="auto" w:sz="0" w:space="0"/>
        </w:rPr>
        <w:t>三、调查内容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调查单位的基本情况、财务状况、从业人员等。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黑体" w:hAnsi="宋体" w:eastAsia="黑体" w:cs="黑体"/>
          <w:i w:val="0"/>
          <w:iCs w:val="0"/>
          <w:caps w:val="0"/>
          <w:color w:val="333333"/>
          <w:spacing w:val="8"/>
          <w:sz w:val="32"/>
          <w:szCs w:val="32"/>
          <w:bdr w:val="none" w:color="auto" w:sz="0" w:space="0"/>
        </w:rPr>
        <w:t>四、调查方法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所有报表均由各省、自治区和直辖市统计机构负责组织实施，调查方法为全数调查。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黑体" w:hAnsi="宋体" w:eastAsia="黑体" w:cs="黑体"/>
          <w:i w:val="0"/>
          <w:iCs w:val="0"/>
          <w:caps w:val="0"/>
          <w:color w:val="333333"/>
          <w:spacing w:val="8"/>
          <w:sz w:val="32"/>
          <w:szCs w:val="32"/>
          <w:bdr w:val="none" w:color="auto" w:sz="0" w:space="0"/>
        </w:rPr>
        <w:t>五、调查组织方式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规模以上服务业法人单位采取联网上报方式上报数据。调查单位按统计部门的统一要求，通过国家统计局联网直报平台按时填报基层表、审核和上报数据，接受数据查询。各级统计局负责对调查单位网上直报数据进行审核、验收和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黑体" w:hAnsi="宋体" w:eastAsia="黑体" w:cs="黑体"/>
          <w:i w:val="0"/>
          <w:iCs w:val="0"/>
          <w:caps w:val="0"/>
          <w:color w:val="333333"/>
          <w:spacing w:val="8"/>
          <w:sz w:val="32"/>
          <w:szCs w:val="32"/>
          <w:bdr w:val="none" w:color="auto" w:sz="0" w:space="0"/>
        </w:rPr>
        <w:t>六、统计资料的报送和公布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72"/>
        <w:jc w:val="both"/>
        <w:rPr>
          <w:rFonts w:hint="default" w:ascii="Calibri" w:hAnsi="Calibri" w:cs="Calibri"/>
          <w:sz w:val="21"/>
          <w:szCs w:val="21"/>
        </w:rPr>
      </w:pPr>
      <w:r>
        <w:rPr>
          <w:rFonts w:hint="eastAsia" w:ascii="仿宋" w:hAnsi="仿宋" w:eastAsia="仿宋" w:cs="仿宋"/>
          <w:i w:val="0"/>
          <w:iCs w:val="0"/>
          <w:caps w:val="0"/>
          <w:color w:val="333333"/>
          <w:spacing w:val="8"/>
          <w:sz w:val="32"/>
          <w:szCs w:val="32"/>
          <w:bdr w:val="none" w:color="auto" w:sz="0" w:space="0"/>
        </w:rPr>
        <w:t>通过《统计公报》和《第三产业统计年鉴》公布相关数据。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M2U0ZDU1ZmNhMWE0NTllZWUwZmQyOWFjMTA2MWYifQ=="/>
  </w:docVars>
  <w:rsids>
    <w:rsidRoot w:val="00000000"/>
    <w:rsid w:val="6F180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WPS_1569903648</cp:lastModifiedBy>
  <dcterms:modified xsi:type="dcterms:W3CDTF">2023-09-14T09:05:39Z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E3AF241C533B453394CC6F7F6EE8B748_12</vt:lpwstr>
  </property>
</Properties>
</file>