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27" w:line="225" w:lineRule="auto"/>
        <w:rPr>
          <w:rFonts w:ascii="宋体" w:hAnsi="宋体" w:eastAsia="宋体" w:cs="宋体"/>
          <w:spacing w:val="9"/>
          <w:sz w:val="31"/>
          <w:szCs w:val="31"/>
        </w:rPr>
      </w:pPr>
      <w:r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  <w:t>六安市自然资源和规划局叶集分局项目支出绩效自评表</w:t>
      </w:r>
    </w:p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自然资源和规划工作经费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我区执法巡查工作、不动产办证资料扫描入库、乡村振兴工作、财务及预算绩效管理工作、党建工作、地质灾害调查和防治等工作得到有效落实、稳步提升。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执法巡查专项经费、不动产登记专项经费、驻村扶贫干部保障经费、财务管理专项经费、党建（结对共建）工作经费、预算绩效管理专项经费、地质灾害防治专项经费、地质灾害调查工作经费、行政复议、行政诉讼、信访工作专项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诉讼案件、复议案件、信访案件等数量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≥170起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每周执法巡察次数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年度开展地质灾害防治调查次数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年度办理不动产登记户数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≥7000户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案件处理率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年度不动产登记资料扫描入库率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项目完成时间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预算完成时间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≤146.85万元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年度行政复议、诉讼、信访支出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≤8万元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年度执法巡察费用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项目实施对地质灾害调查和防治等工作得到有效落实、稳步提升提高案件处理效率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地质灾害案件处理效率提高，但是案件发现时间不够及时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加强执法巡查监督，持续促进执法巡查工作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执法巡查监督力度持续加强，但队伍建设有待加强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  <w:t>94.22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933"/>
        <w:gridCol w:w="908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自然资源和规划购买服务专项经费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达到我区服务满意度，为我区正常开展执法中介服务、社会稳定风险评估工作、外业测绘服务、成片开发方案及控规修编、重点项目规划、村庄规划编制、叶集全区地形图更新、规划、测绘等外包服务、农村承包经营权调查成果划转数据整合、林权登记数据整合、耕地后备资源调查评价工作、自然资源确权登记(水系部分)、土地供应涉及的土地及房产评估、叶集区全民所有自然资源资产清查等工作保驾护航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卫片执法中介服务、报件社会稳定风险评估工作、省市数据核查服务费、外业测绘服务费、成片开发方案及控规修编、重点项目规划、村庄规划编制、叶集全区地形图更新、规划、测绘等外包服务费、农村承包经营权调查成果划转数据整合、林权登记数据整合、耕地后备资源调查评价工作、自然资源确权登记(水系部分)、土地供应涉及的土地及房产评估费、叶集区全民所有自然资源资产清查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933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：执法卫片图斑数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≥350个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2：报件个数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土地整治项目开展外业测绘乡镇数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成片开发方案编制数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叶集区农村承包经营户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≥4.53万户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林权登记数据整合分数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≥1万份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河流及支渠数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＝17条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10：村庄规划编制数量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合规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耕地后备资源调查评价工作任务完成率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乡镇外业测绘任务完成率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≤741.80万元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741.8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叶集全区地形图更新费用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自然资源确权登记(水系部分)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对确保自然资源确权工作、农村经营权调查结果准确性、及时性影响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自然资源确权、农村经营权调查是长期性工作，虽然效果明显，但摸排可能会有误差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1" w:line="240" w:lineRule="exact"/>
              <w:ind w:left="380" w:right="193" w:hanging="176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1：对卫片执法、报件、社会稳定风险评估工作持续稳定开展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对卫片执法、报件、社会稳定风险评估工作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自然资源和规划项目经费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7.71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为我区“非农化”调查摸底、核实、整改工作、耕地保护、业务用房运行、规划管理、设施农用地上图入库、不动产登记责任险、地理国情监测、报批用地勘测定界制作、土地利用动态巡查及监管工作、土地级别与基准地价更新工作、执法队伍及档案标准化建设、国土变更调查工作保驾护航，有序开展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“非农化”调查摸底、核实、整改工作专项经费、耕地保护专项经费、业务用房运行经费、规划管理专项经费、设施农用地上图入库专项经费、不动产登记责任险专项经费、地理国情监测专项经费、报批用地勘测定界制作专项经费、土地利用动态巡查及监管工作专项经费、土地级别与基准地价更新工作专项经费、执法队伍标准化建设专项经费、档案标准化建设专项经费、国土变更调查工作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物业管理外包合同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＝1项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设施农用地宗数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报批土地亩数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地理国情监测图斑数量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执法队伍标准化建设配备专业设备数量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城乡建设用地增减挂钩规模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新增耕地验收达标率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exact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≤340万元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每个图斑监测成本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≤200元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农用地上图入库成本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保持耕地质量等别数据的现势性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耕地质量持续改善，但需要长期保障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自然资源违法行为下降，但是需要加强执法力度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完善国土资源执法体系，持续发挥国土资源执法效力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成效明显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国土资源执法体系的完善是一项长期工作，执法力度虽然明显加强，但执法队伍还需加强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94.71</w:t>
            </w:r>
            <w:bookmarkStart w:id="0" w:name="_GoBack"/>
            <w:bookmarkEnd w:id="0"/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pStyle w:val="2"/>
        <w:jc w:val="both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MzYxYzU4YzlhMDRmOWEzOTMwZTg2MTBlZjE3ZTkifQ=="/>
  </w:docVars>
  <w:rsids>
    <w:rsidRoot w:val="7B926071"/>
    <w:rsid w:val="09806D25"/>
    <w:rsid w:val="1F9C084C"/>
    <w:rsid w:val="23A2161F"/>
    <w:rsid w:val="42B21FB1"/>
    <w:rsid w:val="4867383D"/>
    <w:rsid w:val="5118200F"/>
    <w:rsid w:val="625F6A4A"/>
    <w:rsid w:val="63C11BFC"/>
    <w:rsid w:val="67B43EBD"/>
    <w:rsid w:val="748C0004"/>
    <w:rsid w:val="7B9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36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2023-08-21T02:55:00Z</dcterms:created>
  <dc:creator> 黑色幽默</dc:creator>
  <cp:lastModifiedBy> 黑色幽默</cp:lastModifiedBy>
  <dcterms:modified xsi:type="dcterms:W3CDTF">2023-08-21T03:09:54Z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713FCE552086490CB1ACF823B43CBAC1_11</vt:lpwstr>
  </property>
</Properties>
</file>