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2022年度六安市叶集区姚李镇人民政府项目支出绩效评价报告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为加强预算绩效管理，强化预算支出责任，提高财政资金使用效率和效益，根据叶集区绩效评价工作方案有关要求，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我镇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于202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年对202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年度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村两委工资及绩效经费项目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实施了绩效评价，现将绩效评价结果报告如下：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highlight w:val="none"/>
        </w:rPr>
        <w:t>一、项目基本情况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（一）项目概况。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1.设立背景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为保障村干部生活待遇，激励村干部干好工作，推动村级工作正常开展，根据（叶组〔20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〕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号）、《中共六安市叶集区委组织部  六安市叶集区财政局关于进一步强化村干部待遇保障的通知》（叶组〔2020〕6号），我镇设立村两委工资及绩效经费项目。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2.项目投入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2022年预算安排资金150万元，用于拨付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村两委工资及绩效经费。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3.项目实施范围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2022年村两委工资及绩效经费项目实施范围包括经过村“两委”换届产生或乡镇街按规定下文任职且经区委组织部备案，在村工作的“两委”成员。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4.资金使用情况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default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2022年预算安排资金150万元全部支出完毕。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项目绩效目标。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总体目标：通过实施2022年村两委工资及绩效经费项目，加强对村干部的日常考评，根据考评结果兑现奖励绩效工资，促进各村干部能够更积极的开展工作。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阶段性目标：做好村两委工资及绩效经费项目的发放工作。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highlight w:val="none"/>
        </w:rPr>
        <w:t>二、绩效评价工作开展情况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（一）绩效评价目的、对象和范围。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根据六安市叶集区财政局《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2022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年度叶集区绩效评价工作方案》的文件精神。本项目绩效评价旨在全面了解项目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支出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的实施情况，分析项目实施和资金落实过程中存在的问题或制约因素，提出完善的整改建议，从而提高财政资金的使用效率。</w:t>
      </w:r>
    </w:p>
    <w:p>
      <w:pPr>
        <w:keepNext w:val="0"/>
        <w:keepLines w:val="0"/>
        <w:pageBreakBefore w:val="0"/>
        <w:widowControl/>
        <w:tabs>
          <w:tab w:val="left" w:pos="5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（二）绩效评价原则、评价指标体系、评价方法、评价标准等。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1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绩效评价原则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（1）科学规范原则：注重项目支出的真实性和有效性，严格执行规定的程序，采用定量与定性分析相结合的方法。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（2）公正公开原则：遵循客观、公正的原则，标准统一、资料可靠，依法公开并接受监督。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（3）绩效相关原则：针对具体支出及其项目绩效进行评价，以保证评价结果清晰反映项目支出和绩效之间的紧密对应关系。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2．评价标准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（1）计划标准：以预先制定的目标、计划、预算、定额等数据作为评价标准。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（2）行业标准：参照国家、本省、市、县公布的相关行业评价标准。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（3）历史标准：同类指标采用历史数据制定的评价标准。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（4）其他标准：经财政部门确认的其他标准。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3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绩效评价方法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（1）收集整理数据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开展自评；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（2）对比分析，认真总结。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4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评价标准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本次绩效评价结果采取评分和评级相结合的方式，分为4个等级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综合得分在90-100分(含90分)为优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综合得分在80-90分(含80分)为良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综合得分在60-80分(含60分)为中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综合得分在60分以下为差。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（三）绩效评价工作过程。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本次绩效评价工作共分为3个阶段:前期准备阶段、评价实施阶段、报告撰写上报阶段。各阶段具体工作安排如下: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1、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前期准备阶段(202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月)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（1）建立评价体系。根据确定的评价对象，根据资金用途、资金明细等资料，了解项目总体情况，学习绩效评价政策、评价标准，并进行分析。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（2）编制评价指标体系，制定评价工作方案。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2、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评价实施阶段(202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月)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整理及审核项目资料。对评价项目的有关情况进行核实,并对所掌握的有关信息资料进行分类、整理和初步分析，最后形成评价意见。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3、报告撰写上报阶段(202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月)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评价工作组综合前期资料审核和分析，撰写绩效评价报告，并经审核后上报。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3" w:firstLineChars="200"/>
        <w:textAlignment w:val="auto"/>
        <w:rPr>
          <w:rFonts w:hint="eastAsia" w:ascii="仿宋_GB2312" w:hAnsi="仿宋" w:eastAsia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highlight w:val="none"/>
          <w:lang w:eastAsia="zh-CN"/>
        </w:rPr>
        <w:t>三、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highlight w:val="none"/>
        </w:rPr>
        <w:t>综合评价情况及评价结论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项目方案基本合理，专项资金落实到位，预算执行情况较好;项目实施过程管理体系较完善，项目单位制定了相应的管理办法，安排专人负责，专项资金管理使用规范。经综合分析评价，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六安市叶集区姚李镇人民政府项目支出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的绩效评价综合得分为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90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分，绩效等次为优。得分情况详见下表:</w:t>
      </w:r>
    </w:p>
    <w:tbl>
      <w:tblPr>
        <w:tblStyle w:val="2"/>
        <w:tblpPr w:leftFromText="180" w:rightFromText="180" w:vertAnchor="text" w:horzAnchor="page" w:tblpX="1885" w:tblpY="138"/>
        <w:tblOverlap w:val="never"/>
        <w:tblW w:w="880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16"/>
        <w:gridCol w:w="1869"/>
        <w:gridCol w:w="1560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80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560" w:lineRule="exact"/>
              <w:ind w:right="0"/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  <w:lang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560" w:lineRule="exact"/>
              <w:ind w:left="0" w:right="0" w:firstLine="645"/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  <w:lang w:eastAsia="zh-CN"/>
              </w:rPr>
              <w:t>部门整体支出</w:t>
            </w:r>
            <w:r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</w:rPr>
              <w:t>绩效目标评价得分情况表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560" w:lineRule="exact"/>
              <w:ind w:left="0" w:right="0" w:firstLine="645"/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</w:rPr>
              <w:t>评价指标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560" w:lineRule="exact"/>
              <w:ind w:left="0" w:right="0"/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</w:rPr>
              <w:t>比重（%）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560" w:lineRule="exact"/>
              <w:ind w:left="0" w:right="0"/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</w:rPr>
              <w:t>评价得分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560" w:lineRule="exact"/>
              <w:ind w:left="0" w:right="0"/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</w:rPr>
              <w:t>评价等级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560" w:lineRule="exact"/>
              <w:ind w:left="0" w:right="0" w:firstLine="645"/>
              <w:rPr>
                <w:rFonts w:hint="default" w:ascii="仿宋_GB2312" w:hAnsi="仿宋" w:eastAsia="仿宋_GB2312"/>
                <w:color w:val="auto"/>
                <w:kern w:val="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  <w:lang w:val="en-US" w:eastAsia="zh-CN"/>
              </w:rPr>
              <w:t>1.投入和管理指标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560" w:lineRule="exact"/>
              <w:ind w:left="0" w:right="0" w:firstLine="645"/>
              <w:rPr>
                <w:rFonts w:hint="default" w:ascii="仿宋_GB2312" w:hAnsi="仿宋" w:eastAsia="仿宋_GB2312"/>
                <w:color w:val="auto"/>
                <w:kern w:val="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  <w:lang w:val="en-US" w:eastAsia="zh-CN"/>
              </w:rPr>
              <w:t>20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560" w:lineRule="exact"/>
              <w:ind w:left="0" w:right="0" w:firstLine="645"/>
              <w:rPr>
                <w:rFonts w:hint="default" w:ascii="仿宋_GB2312" w:hAnsi="仿宋" w:eastAsia="仿宋_GB2312"/>
                <w:color w:val="auto"/>
                <w:kern w:val="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  <w:lang w:val="en-US" w:eastAsia="zh-CN"/>
              </w:rPr>
              <w:t>18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560" w:lineRule="exact"/>
              <w:ind w:left="0" w:right="0" w:firstLine="645"/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560" w:lineRule="exact"/>
              <w:ind w:left="0" w:right="0" w:firstLine="645"/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</w:rPr>
              <w:t>. 产出指标（数量）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560" w:lineRule="exact"/>
              <w:ind w:left="0" w:right="0" w:firstLine="645"/>
              <w:rPr>
                <w:rFonts w:hint="default" w:ascii="仿宋_GB2312" w:hAnsi="仿宋" w:eastAsia="仿宋_GB2312"/>
                <w:color w:val="auto"/>
                <w:kern w:val="2"/>
                <w:sz w:val="32"/>
                <w:szCs w:val="32"/>
                <w:highlight w:val="none"/>
                <w:lang w:val="en-US"/>
              </w:rPr>
            </w:pPr>
            <w:r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  <w:lang w:val="en-US" w:eastAsia="zh-CN"/>
              </w:rPr>
              <w:t>20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560" w:lineRule="exact"/>
              <w:ind w:left="0" w:right="0" w:firstLine="645"/>
              <w:rPr>
                <w:rFonts w:hint="default" w:ascii="仿宋_GB2312" w:hAnsi="仿宋" w:eastAsia="仿宋_GB2312"/>
                <w:color w:val="auto"/>
                <w:kern w:val="2"/>
                <w:sz w:val="32"/>
                <w:szCs w:val="32"/>
                <w:highlight w:val="none"/>
                <w:lang w:val="en-US"/>
              </w:rPr>
            </w:pPr>
            <w:r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  <w:lang w:val="en-US" w:eastAsia="zh-CN"/>
              </w:rPr>
              <w:t>17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560" w:lineRule="exact"/>
              <w:ind w:left="0" w:right="0" w:firstLine="645"/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560" w:lineRule="exact"/>
              <w:ind w:left="0" w:right="0" w:firstLine="645"/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</w:rPr>
              <w:t>.效益指标（社会效益）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560" w:lineRule="exact"/>
              <w:ind w:left="0" w:right="0" w:firstLine="645"/>
              <w:rPr>
                <w:rFonts w:hint="default" w:ascii="仿宋_GB2312" w:hAnsi="仿宋" w:eastAsia="仿宋_GB2312"/>
                <w:color w:val="auto"/>
                <w:kern w:val="2"/>
                <w:sz w:val="32"/>
                <w:szCs w:val="32"/>
                <w:highlight w:val="none"/>
                <w:lang w:val="en-US"/>
              </w:rPr>
            </w:pPr>
            <w:r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  <w:lang w:val="en-US" w:eastAsia="zh-CN"/>
              </w:rPr>
              <w:t>40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560" w:lineRule="exact"/>
              <w:ind w:left="0" w:right="0" w:firstLine="645"/>
              <w:rPr>
                <w:rFonts w:hint="default" w:ascii="仿宋_GB2312" w:hAnsi="仿宋" w:eastAsia="仿宋_GB2312"/>
                <w:color w:val="auto"/>
                <w:kern w:val="2"/>
                <w:sz w:val="32"/>
                <w:szCs w:val="32"/>
                <w:highlight w:val="none"/>
                <w:lang w:val="en-US"/>
              </w:rPr>
            </w:pPr>
            <w:r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  <w:lang w:val="en-US" w:eastAsia="zh-CN"/>
              </w:rPr>
              <w:t>35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560" w:lineRule="exact"/>
              <w:ind w:left="0" w:right="0" w:firstLine="645"/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560" w:lineRule="exact"/>
              <w:ind w:left="0" w:right="0" w:firstLine="645"/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</w:rPr>
              <w:t>.满意度指标（服务对象满意度）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560" w:lineRule="exact"/>
              <w:ind w:left="0" w:right="0" w:firstLine="645"/>
              <w:rPr>
                <w:rFonts w:hint="default" w:ascii="仿宋_GB2312" w:hAnsi="仿宋" w:eastAsia="仿宋_GB2312"/>
                <w:color w:val="auto"/>
                <w:kern w:val="2"/>
                <w:sz w:val="32"/>
                <w:szCs w:val="32"/>
                <w:highlight w:val="none"/>
                <w:lang w:val="en-US"/>
              </w:rPr>
            </w:pPr>
            <w:r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  <w:lang w:val="en-US" w:eastAsia="zh-CN"/>
              </w:rPr>
              <w:t>20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560" w:lineRule="exact"/>
              <w:ind w:left="0" w:right="0" w:firstLine="645"/>
              <w:rPr>
                <w:rFonts w:hint="default" w:ascii="仿宋_GB2312" w:hAnsi="仿宋" w:eastAsia="仿宋_GB2312"/>
                <w:color w:val="auto"/>
                <w:kern w:val="2"/>
                <w:sz w:val="32"/>
                <w:szCs w:val="32"/>
                <w:highlight w:val="none"/>
                <w:lang w:val="en-US"/>
              </w:rPr>
            </w:pPr>
            <w:r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  <w:lang w:val="en-US" w:eastAsia="zh-CN"/>
              </w:rPr>
              <w:t>20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560" w:lineRule="exact"/>
              <w:ind w:left="0" w:right="0" w:firstLine="645"/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560" w:lineRule="exact"/>
              <w:ind w:left="0" w:right="0" w:firstLine="645"/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</w:rPr>
              <w:t>综合绩效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560" w:lineRule="exact"/>
              <w:ind w:left="0" w:right="0" w:firstLine="645"/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</w:rPr>
              <w:t>100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560" w:lineRule="exact"/>
              <w:ind w:left="0" w:right="0" w:firstLine="645"/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  <w:lang w:val="en-US" w:eastAsia="zh-CN"/>
              </w:rPr>
              <w:t>9</w:t>
            </w:r>
            <w:r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</w:rPr>
              <w:t>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560" w:lineRule="exact"/>
              <w:ind w:left="0" w:right="0" w:firstLine="645"/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kern w:val="2"/>
                <w:sz w:val="32"/>
                <w:szCs w:val="32"/>
                <w:highlight w:val="none"/>
              </w:rPr>
              <w:t>优</w:t>
            </w:r>
          </w:p>
        </w:tc>
      </w:tr>
    </w:tbl>
    <w:p>
      <w:pPr>
        <w:spacing w:line="560" w:lineRule="exact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fldChar w:fldCharType="begin"/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instrText xml:space="preserve"> LINK Office12.Excel.SheetBinaryMacroEnabled.12 "工作簿1" "Sheet1!R1C1:R8C4" \h \a  \* MERGEFORMAT </w:instrTex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fldChar w:fldCharType="separat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fldChar w:fldCharType="end"/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highlight w:val="none"/>
          <w:lang w:eastAsia="zh-CN"/>
        </w:rPr>
        <w:t>四、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highlight w:val="none"/>
        </w:rPr>
        <w:t>主要经验做法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highlight w:val="none"/>
          <w:lang w:eastAsia="zh-CN"/>
        </w:rPr>
        <w:t>及绩效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（一）主要做法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1.严格审查专项立项依据是否充分；严格按照资金管理办法进行实行，并且不断在工作中发现问题，解决问题。不断做到资金管理的规范化，科学化，合理化。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2.合理分配专项资金，与自己的工作重点相结合，同时坚决杜绝违法乱纪以及不公不法的相关情况。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3.相关专项资金拨付及时，严格要求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拨付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时间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拨付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率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（二）取得绩效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2022年度本项目共发放村两委工资及绩效经费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150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万元，通过兑现奖励绩效工资，促进了各村干部更积极的开展工作。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highlight w:val="none"/>
        </w:rPr>
        <w:t>、存在问题及原因分析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虽然我单位绩效评价工作取得一定成绩，但是也发现存在一些问题。主要是预算绩效管理意识不强，管理上只重视财政资金的来源和合法性，但对财政资金的使用绩效重视不够。没有将“要我评价”的被动绩效管理改变为“我要评价”的主动绩效管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highlight w:val="none"/>
        </w:rPr>
        <w:t>、有关建议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（一）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通过区财政局组织的业务培训、专题会议等形式，充分认识预算绩效管理的目的、意义，强化预算绩效意识，提高本单位预算绩效管理水平和实务操作能力。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（二）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经常与其他单位交流学习先进做法和成功经验。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（三）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细化预算编制工作，认真做好预算的编制。进一步加强单位内部的预算管理意识，严格按照预算编制的相关制度和要求进行预算编制，进一步提高预算编制的科学性、严谨性和可控性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（四）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加强财务管理，严格财务审核。加强单位财务管理，健全单位财务管理制度体系，规范单位财务行为。在费用报账支付时，按照预算规定的费用项目和用途进行资金使用审核，杜绝超支现象的发生。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、其他需要说明的问题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5"/>
        <w:textAlignment w:val="auto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</w:p>
    <w:tbl>
      <w:tblPr>
        <w:tblStyle w:val="2"/>
        <w:tblW w:w="86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2080"/>
        <w:gridCol w:w="3640"/>
        <w:gridCol w:w="1000"/>
        <w:gridCol w:w="9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仿宋" w:hAnsi="仿宋" w:eastAsia="仿宋" w:cs="Times New Roman"/>
                <w:b/>
                <w:bCs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kern w:val="0"/>
                <w:sz w:val="32"/>
                <w:szCs w:val="32"/>
                <w:lang w:eastAsia="zh-CN"/>
              </w:rPr>
              <w:t>六安市叶集区姚李镇人民政府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2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kern w:val="0"/>
                <w:sz w:val="24"/>
                <w:szCs w:val="24"/>
                <w:lang w:eastAsia="zh-CN"/>
              </w:rPr>
              <w:t>2022</w:t>
            </w:r>
            <w:r>
              <w:rPr>
                <w:rFonts w:hint="eastAsia" w:ascii="仿宋" w:hAnsi="仿宋" w:eastAsia="仿宋" w:cs="Times New Roman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Times New Roman"/>
                <w:b/>
                <w:bCs/>
                <w:kern w:val="0"/>
                <w:sz w:val="24"/>
                <w:szCs w:val="24"/>
                <w:lang w:eastAsia="zh-CN"/>
              </w:rPr>
              <w:t>村两委工资及绩效经费</w:t>
            </w:r>
            <w:r>
              <w:rPr>
                <w:rFonts w:hint="eastAsia" w:ascii="仿宋" w:hAnsi="仿宋" w:eastAsia="仿宋" w:cs="Times New Roman"/>
                <w:b/>
                <w:bCs/>
                <w:kern w:val="0"/>
                <w:sz w:val="24"/>
                <w:szCs w:val="24"/>
              </w:rPr>
              <w:t>项目绩效评价指标评分表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指标分值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投入和管理指标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预算执行率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eastAsia="zh-CN"/>
              </w:rPr>
              <w:t>实际发放村干部绩效资金总额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</w:rPr>
              <w:t>资金使用合规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</w:rPr>
              <w:t>项目资金的使用是否符合相关法律法规、制度和规定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eastAsia="zh-CN"/>
              </w:rPr>
              <w:t>全面</w:t>
            </w: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完成</w:t>
            </w: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eastAsia="zh-CN"/>
              </w:rPr>
              <w:t>村干部绩效资金发放工作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仿宋" w:hAnsi="仿宋" w:eastAsia="仿宋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eastAsia="zh-CN"/>
              </w:rPr>
              <w:t>质量指标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eastAsia="zh-CN"/>
              </w:rPr>
              <w:t>村干部绩效资金发放</w:t>
            </w: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是否公开、公正、透明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0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仿宋" w:hAnsi="仿宋" w:eastAsia="仿宋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年度预算执行进度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仿宋" w:hAnsi="仿宋" w:eastAsia="仿宋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eastAsia="zh-CN"/>
              </w:rPr>
              <w:t>项目运转总成本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0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eastAsia="zh-CN"/>
              </w:rPr>
              <w:t>经济效益指标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通过兑现奖励绩效工资，促进各村干部更积极的开展工作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节约财政资金，提高资金使用效益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仿宋" w:hAnsi="仿宋" w:eastAsia="仿宋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促进</w:t>
            </w: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eastAsia="zh-CN"/>
              </w:rPr>
              <w:t>村干部</w:t>
            </w: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发展的持续影响力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仿宋" w:hAnsi="仿宋" w:eastAsia="仿宋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项目安排的科学性、合理性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0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2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eastAsia="zh-CN"/>
              </w:rPr>
              <w:t>村干部</w:t>
            </w: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满意率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0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default" w:ascii="仿宋" w:hAnsi="仿宋" w:eastAsia="仿宋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kern w:val="0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  <w:lang w:eastAsia="zh-CN"/>
              </w:rPr>
              <w:t>社会公众</w:t>
            </w: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满意率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3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</w:rPr>
              <w:t>合    计</w:t>
            </w:r>
          </w:p>
        </w:tc>
        <w:tc>
          <w:tcPr>
            <w:tcW w:w="3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20"/>
                <w:szCs w:val="20"/>
                <w:lang w:val="en-US" w:eastAsia="zh-CN"/>
              </w:rPr>
              <w:t>90</w:t>
            </w:r>
          </w:p>
        </w:tc>
      </w:tr>
    </w:tbl>
    <w:p>
      <w:pPr>
        <w:jc w:val="both"/>
        <w:rPr>
          <w:rFonts w:hint="eastAsia" w:ascii="仿宋" w:hAnsi="仿宋" w:eastAsia="仿宋" w:cs="仿宋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FC7ABD"/>
    <w:multiLevelType w:val="singleLevel"/>
    <w:tmpl w:val="51FC7AB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3MTgxMGI3ZmIyOWRlZmQwYzdlOGZkYTQzMmUwZjgifQ=="/>
  </w:docVars>
  <w:rsids>
    <w:rsidRoot w:val="6B661EDD"/>
    <w:rsid w:val="6B661EDD"/>
    <w:rsid w:val="73EE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2552</Words>
  <Characters>2683</Characters>
  <Lines>0</Lines>
  <Paragraphs>0</Paragraphs>
  <TotalTime>11</TotalTime>
  <ScaleCrop>false</ScaleCrop>
  <LinksUpToDate>false</LinksUpToDate>
  <CharactersWithSpaces>2691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2022-06-08T01:45:00Z</dcterms:created>
  <dc:creator>Yuwei</dc:creator>
  <cp:lastModifiedBy>风卮有酒，陪否..</cp:lastModifiedBy>
  <dcterms:modified xsi:type="dcterms:W3CDTF">2023-08-28T09:06:43Z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838F8158AB794F64AC8B367B8501BA04_13</vt:lpwstr>
  </property>
</Properties>
</file>