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六安市叶集区城市管理行政执法局</w:t>
      </w:r>
    </w:p>
    <w:p>
      <w:pPr>
        <w:spacing w:line="576" w:lineRule="exact"/>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 xml:space="preserve">环卫保洁绿化补植专项经费 </w:t>
      </w:r>
    </w:p>
    <w:p>
      <w:pPr>
        <w:spacing w:line="660" w:lineRule="exact"/>
        <w:jc w:val="center"/>
        <w:rPr>
          <w:rFonts w:hint="eastAsia" w:ascii="仿宋" w:hAnsi="仿宋" w:eastAsia="仿宋" w:cs="仿宋"/>
          <w:b/>
          <w:bCs/>
          <w:sz w:val="44"/>
          <w:szCs w:val="44"/>
          <w:lang w:val="en-US" w:eastAsia="zh-CN"/>
        </w:rPr>
      </w:pPr>
      <w:bookmarkStart w:id="0" w:name="_GoBack"/>
      <w:r>
        <w:rPr>
          <w:rFonts w:hint="eastAsia" w:ascii="仿宋" w:hAnsi="仿宋" w:eastAsia="仿宋" w:cs="仿宋"/>
          <w:b/>
          <w:bCs/>
          <w:sz w:val="44"/>
          <w:szCs w:val="44"/>
          <w:lang w:val="en-US" w:eastAsia="zh-CN"/>
        </w:rPr>
        <w:t>项目支出绩效评价报告</w:t>
      </w:r>
    </w:p>
    <w:bookmarkEnd w:id="0"/>
    <w:p>
      <w:pPr>
        <w:keepNext w:val="0"/>
        <w:keepLines w:val="0"/>
        <w:pageBreakBefore w:val="0"/>
        <w:widowControl w:val="0"/>
        <w:kinsoku/>
        <w:wordWrap/>
        <w:overflowPunct/>
        <w:topLinePunct w:val="0"/>
        <w:autoSpaceDE/>
        <w:autoSpaceDN/>
        <w:bidi w:val="0"/>
        <w:adjustRightInd/>
        <w:snapToGrid/>
        <w:spacing w:line="240" w:lineRule="exact"/>
        <w:ind w:firstLine="640" w:firstLineChars="200"/>
        <w:textAlignment w:val="auto"/>
        <w:rPr>
          <w:rFonts w:hint="eastAsia" w:eastAsia="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黑体"/>
          <w:sz w:val="32"/>
          <w:szCs w:val="32"/>
        </w:rPr>
      </w:pPr>
      <w:r>
        <w:rPr>
          <w:rFonts w:hint="eastAsia" w:eastAsia="黑体"/>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sz w:val="32"/>
          <w:szCs w:val="32"/>
        </w:rPr>
      </w:pPr>
      <w:r>
        <w:rPr>
          <w:rFonts w:hint="eastAsia"/>
          <w:b/>
          <w:bCs/>
          <w:sz w:val="32"/>
          <w:szCs w:val="32"/>
        </w:rPr>
        <w:t>（一）项目概况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1、项目背景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为创建整洁、优美、宜人的城市环境，提升城市品位，环境卫生、市容市貌明显改善，优化环境，减少污染，促进生态和谐发展，而设立环卫保洁绿化补植专项经费专项。</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2022年环卫保洁绿化补植专项经费实施范围包括新老城区道路保洁面积2871701.8平方米，背街小巷15.27平方公里，垃圾收转运，河道保洁、公厕管理、中转站运行管理、“牛皮癣”清理，垃圾桶果皮箱保洁。绿化补植及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环卫保洁绿化补植专项经费项目实施方式为通过环卫保洁专项工作为项目载体，进行项目实施，从而保障项目的顺利开展，提升城市管理水平，打造人民宜居城市，提高社会公众满意度。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3、资金投入和使用情况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2022年环卫保洁绿化补植专项经费项目预算安排资金1855.39万元，实际支出1820.78万元，执行率98.13 %。</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cs="Times New Roman"/>
          <w:b/>
          <w:bCs/>
          <w:sz w:val="32"/>
          <w:szCs w:val="32"/>
        </w:rPr>
      </w:pPr>
      <w:r>
        <w:rPr>
          <w:rFonts w:hint="eastAsia" w:ascii="Times New Roman" w:hAnsi="Times New Roman" w:cs="Times New Roman"/>
          <w:b/>
          <w:bCs/>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1、项目绩效总目标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28"/>
          <w:szCs w:val="28"/>
          <w:lang w:val="en-US" w:eastAsia="zh-CN"/>
        </w:rPr>
      </w:pPr>
      <w:r>
        <w:rPr>
          <w:rFonts w:hint="eastAsia" w:ascii="Times New Roman" w:hAnsi="Times New Roman" w:eastAsia="仿宋_GB2312" w:cs="Times New Roman"/>
          <w:sz w:val="32"/>
          <w:szCs w:val="32"/>
          <w:lang w:val="en-US" w:eastAsia="zh-CN"/>
        </w:rPr>
        <w:t xml:space="preserve">通过对项目的实施，提创建整洁、优美、宜人的城市环境，提升城市品位，环境卫生、市容市貌明显改善，优化环境，减少污染，促进生态和谐发展，提升城市管理水平，打造人民宜居城市，提高社会公众满意度。  </w:t>
      </w:r>
      <w:r>
        <w:rPr>
          <w:rFonts w:hint="eastAsia" w:ascii="仿宋" w:hAnsi="仿宋" w:eastAsia="仿宋" w:cs="仿宋"/>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2、项目绩效阶段性目标</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环境卫生、市容市貌明显改善，社会公众满意度明显提升，城市管理水平明显提高。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黑体"/>
          <w:sz w:val="32"/>
          <w:szCs w:val="32"/>
        </w:rPr>
      </w:pPr>
      <w:r>
        <w:rPr>
          <w:rFonts w:hint="eastAsia" w:eastAsia="黑体"/>
          <w:sz w:val="32"/>
          <w:szCs w:val="32"/>
        </w:rPr>
        <w:t>二、绩效评价工作开展情况</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（一）绩效评价目的、对象和范围。</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通过对城管局环卫保洁绿化补植项目支出的绩效评价，了解该项目资金的收入、支出、管理和使用情况，考核该项目资金投入是否达到预期目标，为财政部门提供决策依据，提高财政资金的使用效率。</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（二）绩效评价原则、评价指标体系、评价方法、评价标准等。</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1．绩效评价原则</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（1）科学规范原则：注重项目支出的真实性和有效性，严格执行规定的程序，采用定量与定性分析相结合的方法。</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（2）公正公开原则：遵循客观、公正的原则，标准统一、资料可靠，依法公开并接受监督。</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（3）绩效相关原则：针对具体支出及其项目绩效进行评价，以保证评价结果清晰反映项目支出和绩效之间的紧密对应关系。</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2．评价指标体系</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项目评价指标体系依据六安市财政局制定的《绩效评价指标体系框架》确定,分为四大部分，即投入和管理、产出、效益和满意度四个方面对评价指标体系进行逐步分解，评价采取百分制的计分方式。根据项目支出的实际情况，针对项目特点及各指标难度、类别考评内容，并参考了评价小组及被评价单位的意见，最终确定各个指标相对于总体绩效的权重分值，投入和管理权重值为10%，产出权重值为50%，效益权重值为30%，满意度权重值为10%。</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投入和管理标准分10分，该部分反映项目实施单位的项目立项规范性、资金落实等情况；产出标准分50分，该部分反映项目实施单位的实际完成、质量达标情况；效益标准分30分，该部分反映项目社会效益情况；满意度标准分10分，该部分反映项目服务对象满意度情况。</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评分方法：项目绩效评价结果分4个等级，90-100分为优秀、80-89分为良好、60-79分为一般、60分以下为差。</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3、评价方法</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（1）以项目为评价对象，由被评价单位承担撰写项目支出绩效自评报告。</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（2）组织绩效评价工作组在评价单位绩效自评报告的基础上，对照评价指标和计分标准进行评价，对项目支出的实施情况进行核查，核实相关信息并量化评分，形成项目支出绩效评价表和绩效评价报告。</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（3）采用现场核查评定和专家评议相结合、定量与定性相结合、被评价单位自评与第三方评价相结合的方法。</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4、评价标准</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（1）计划标准：以预先制定的目标、计划、预算、定额等数据作为评价标准。</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（2）行业标准：参照国家、本省、市、县公布的相关行业评价标准。</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（3）历史标准：同类指标采用历史数据制定的评价标准。</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（4）其他标准：经财政部门确认的其他标准。</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（三）绩效评价工作过程</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1．前期准备</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我单位及时组织了绩效评价小组，并安排专人具体负责组织实施本次评价工作，制订项目评价的工作思路及工作安排，参考学习相关制度、实施方案和相关的工作文件，为评价工作的开展提供工作指引。</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2．组织实施</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评价小组根据项目的实际情况及资金分配、使用及自评情况，及时与项目实施单位沟通协商，确定现场评价时间进行现场勘察、核实工作，并做相关问卷调查，据实酌情调整完善评价指标体系，剖析问题产生原因。</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3．报告完成</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评价小组根据现场勘察情况和书面资料整理分析情况，围绕评价指标体系对项目支出绩效进行评分，并撰写绩效评价报告。</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4．归档</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评价小组对本次绩效评价工作资料进行整理，完善绩效评价工作底稿，然后归档。</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eastAsia="黑体"/>
          <w:sz w:val="32"/>
          <w:szCs w:val="32"/>
        </w:rPr>
      </w:pPr>
      <w:r>
        <w:rPr>
          <w:rFonts w:hint="eastAsia" w:eastAsia="黑体"/>
          <w:sz w:val="32"/>
          <w:szCs w:val="32"/>
        </w:rPr>
        <w:t>综合评价情况及评价结论（附相关评分表）</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（一）评价结论</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绩效评价综合得分97.81分，评价等级为优秀。本项目符合国家产业政策，项目管理有效，社会效益明显，项目建设能够形成可持续的影响。</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1766"/>
        <w:gridCol w:w="1564"/>
        <w:gridCol w:w="1276"/>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4" w:type="dxa"/>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指标</w:t>
            </w:r>
          </w:p>
        </w:tc>
        <w:tc>
          <w:tcPr>
            <w:tcW w:w="1766"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投入和管理</w:t>
            </w:r>
          </w:p>
        </w:tc>
        <w:tc>
          <w:tcPr>
            <w:tcW w:w="1564"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产出</w:t>
            </w:r>
          </w:p>
        </w:tc>
        <w:tc>
          <w:tcPr>
            <w:tcW w:w="1276"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效益</w:t>
            </w:r>
          </w:p>
        </w:tc>
        <w:tc>
          <w:tcPr>
            <w:tcW w:w="1421"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满意度</w:t>
            </w:r>
          </w:p>
        </w:tc>
        <w:tc>
          <w:tcPr>
            <w:tcW w:w="1421"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合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4" w:type="dxa"/>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分值</w:t>
            </w:r>
          </w:p>
        </w:tc>
        <w:tc>
          <w:tcPr>
            <w:tcW w:w="1766"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w:t>
            </w:r>
          </w:p>
        </w:tc>
        <w:tc>
          <w:tcPr>
            <w:tcW w:w="1564"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50</w:t>
            </w:r>
          </w:p>
        </w:tc>
        <w:tc>
          <w:tcPr>
            <w:tcW w:w="1276"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30</w:t>
            </w:r>
          </w:p>
        </w:tc>
        <w:tc>
          <w:tcPr>
            <w:tcW w:w="1421"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w:t>
            </w:r>
          </w:p>
        </w:tc>
        <w:tc>
          <w:tcPr>
            <w:tcW w:w="1421"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4" w:type="dxa"/>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得分</w:t>
            </w:r>
          </w:p>
        </w:tc>
        <w:tc>
          <w:tcPr>
            <w:tcW w:w="1766"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9.81</w:t>
            </w:r>
          </w:p>
        </w:tc>
        <w:tc>
          <w:tcPr>
            <w:tcW w:w="1564"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48</w:t>
            </w:r>
          </w:p>
        </w:tc>
        <w:tc>
          <w:tcPr>
            <w:tcW w:w="1276"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30</w:t>
            </w:r>
          </w:p>
        </w:tc>
        <w:tc>
          <w:tcPr>
            <w:tcW w:w="1421"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w:t>
            </w:r>
          </w:p>
        </w:tc>
        <w:tc>
          <w:tcPr>
            <w:tcW w:w="1421"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280" w:firstLineChars="1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97.81</w:t>
            </w:r>
          </w:p>
        </w:tc>
      </w:tr>
    </w:tbl>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1．投入和管理指标。分值10分，得9.81分。</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⑴预算执行率，分值10分，得9.81分。</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预算执行率=实际支出金额÷年度预算金总额。</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1820.78万元÷1855.39万元*100%=98.13%。</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得分：10分×(98.13%÷100.00%)=9.81分。</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2.产出指标。分值50分，得48分。</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⑴数量指标，分值10分，得8分。</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根据年初预算安排，2022年度环卫保洁绿化补植专项经费预算1855.39万元，环卫保洁绿化补植专项经费年度指标计划全部到位，通过检查相关会计资料，项目实际支出与项目计划投入资金用途相符，符合《中华人民共和国会计法》和《行政单位会计制度》的规定，资金拨付审批程序和手续完整，符合项目预算批复规定的用途，做到了资金专款专用。实际支出1820.78万元，执行率98.13%，完成较好。</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质量指标，分值24分，得24分。</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单位有相关的业务管理制度及相关规定，环境卫生、市容市貌明显改善，社会公众满意度明显提升，城市管理水平明显提高，工作质量显著改善，效果明显，分值24分，得24分。</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（3）时效指标，分值16分，得16分。</w:t>
      </w:r>
    </w:p>
    <w:p>
      <w:pPr>
        <w:spacing w:line="576" w:lineRule="exact"/>
        <w:ind w:firstLine="640" w:firstLineChars="200"/>
        <w:rPr>
          <w:rFonts w:hint="eastAsia" w:ascii="仿宋" w:hAnsi="仿宋" w:eastAsia="仿宋" w:cs="仿宋"/>
          <w:sz w:val="28"/>
          <w:szCs w:val="28"/>
          <w:lang w:val="en-US" w:eastAsia="zh-CN"/>
        </w:rPr>
      </w:pPr>
      <w:r>
        <w:rPr>
          <w:rFonts w:hint="eastAsia" w:ascii="Times New Roman" w:hAnsi="Times New Roman" w:eastAsia="仿宋_GB2312" w:cs="Times New Roman"/>
          <w:sz w:val="32"/>
          <w:szCs w:val="32"/>
          <w:lang w:val="en-US" w:eastAsia="zh-CN"/>
        </w:rPr>
        <w:t>年度预算执行进度：预算年度内完成，分值16分，得16分</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3．效益指标。分值30分，得30分。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⑴社会效益指标，环境卫生、市容市貌明显改善，社会公众满意度明显提升，城市管理水平明显提高，成效明显。分值15分，得15分。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⑵可持续影响指标，环境卫生、市容市貌明显改善，社会公众满意度明显提升，城市管理水平明显提高，成效明显。分值15分，得15分。</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4.满意度指标。分值10分，得10分。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服务对象满意度指标达到90%。分值10分，得10分。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黑体"/>
          <w:sz w:val="32"/>
          <w:szCs w:val="32"/>
        </w:rPr>
      </w:pPr>
      <w:r>
        <w:rPr>
          <w:rFonts w:hint="eastAsia" w:eastAsia="黑体"/>
          <w:sz w:val="32"/>
          <w:szCs w:val="32"/>
        </w:rPr>
        <w:t>四、绩效评价指标分析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（一）项目决策情况。符合法律法规，符合经济社会发展规划，符合部门年度工作计划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（二）项目过程情况。符合申报条件，项目申报、批复程序符合管理办法。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（三）项目产出情况。保洁区域面积</w:t>
      </w:r>
      <w:r>
        <w:rPr>
          <w:rFonts w:hint="eastAsia" w:ascii="Times New Roman" w:hAnsi="Times New Roman" w:eastAsia="仿宋_GB2312" w:cs="Times New Roman"/>
          <w:sz w:val="32"/>
          <w:szCs w:val="32"/>
          <w:lang w:val="en-US" w:eastAsia="zh-CN"/>
        </w:rPr>
        <w:t>3132757</w:t>
      </w:r>
      <w:r>
        <w:rPr>
          <w:rFonts w:hint="default" w:ascii="Times New Roman" w:hAnsi="Times New Roman" w:eastAsia="仿宋_GB2312" w:cs="Times New Roman"/>
          <w:sz w:val="32"/>
          <w:szCs w:val="32"/>
          <w:lang w:val="en-US" w:eastAsia="zh-CN"/>
        </w:rPr>
        <w:t>㎡，河道清杂</w:t>
      </w:r>
      <w:r>
        <w:rPr>
          <w:rFonts w:hint="eastAsia" w:ascii="Times New Roman" w:hAnsi="Times New Roman" w:eastAsia="仿宋_GB2312" w:cs="Times New Roman"/>
          <w:sz w:val="32"/>
          <w:szCs w:val="32"/>
          <w:lang w:val="en-US" w:eastAsia="zh-CN"/>
        </w:rPr>
        <w:t xml:space="preserve">14.2 </w:t>
      </w:r>
      <w:r>
        <w:rPr>
          <w:rFonts w:hint="default" w:ascii="Times New Roman" w:hAnsi="Times New Roman" w:eastAsia="仿宋_GB2312" w:cs="Times New Roman"/>
          <w:sz w:val="32"/>
          <w:szCs w:val="32"/>
          <w:lang w:val="en-US" w:eastAsia="zh-CN"/>
        </w:rPr>
        <w:t>km，公厕维护</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座，每天各项清扫保洁率100%，</w:t>
      </w:r>
      <w:r>
        <w:rPr>
          <w:rFonts w:hint="eastAsia" w:ascii="Times New Roman" w:hAnsi="Times New Roman" w:eastAsia="仿宋_GB2312" w:cs="Times New Roman"/>
          <w:sz w:val="32"/>
          <w:szCs w:val="32"/>
          <w:lang w:val="en-US" w:eastAsia="zh-CN"/>
        </w:rPr>
        <w:t>广场维护到位，绿化补植及时，</w:t>
      </w:r>
      <w:r>
        <w:rPr>
          <w:rFonts w:hint="default" w:ascii="Times New Roman" w:hAnsi="Times New Roman" w:eastAsia="仿宋_GB2312" w:cs="Times New Roman"/>
          <w:sz w:val="32"/>
          <w:szCs w:val="32"/>
          <w:lang w:val="en-US" w:eastAsia="zh-CN"/>
        </w:rPr>
        <w:t>经费支出严格执行相关财经法规、制度，项目总成本</w:t>
      </w:r>
      <w:r>
        <w:rPr>
          <w:rFonts w:hint="eastAsia" w:ascii="Times New Roman" w:hAnsi="Times New Roman" w:eastAsia="仿宋_GB2312" w:cs="Times New Roman"/>
          <w:sz w:val="32"/>
          <w:szCs w:val="32"/>
          <w:lang w:val="en-US" w:eastAsia="zh-CN"/>
        </w:rPr>
        <w:t>1820.78</w:t>
      </w:r>
      <w:r>
        <w:rPr>
          <w:rFonts w:hint="default" w:ascii="Times New Roman" w:hAnsi="Times New Roman" w:eastAsia="仿宋_GB2312"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（四）项目效益情况。对人居环境的改善或提升程度明显，环境卫生情况改善程度明显，对保障公共基础设施正常运转的持续影响程度明显。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eastAsia="黑体"/>
          <w:sz w:val="32"/>
          <w:szCs w:val="32"/>
        </w:rPr>
      </w:pPr>
      <w:r>
        <w:rPr>
          <w:rFonts w:hint="eastAsia" w:eastAsia="黑体"/>
          <w:sz w:val="32"/>
          <w:szCs w:val="32"/>
          <w:lang w:val="en-US" w:eastAsia="zh-CN"/>
        </w:rPr>
        <w:t>五、</w:t>
      </w:r>
      <w:r>
        <w:rPr>
          <w:rFonts w:hint="eastAsia" w:eastAsia="黑体"/>
          <w:sz w:val="32"/>
          <w:szCs w:val="32"/>
        </w:rPr>
        <w:t>主要经验及做法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（一）主要做法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我单位对环卫保洁绿化补植专项经费工作非常重视，按照国家、省、市、区相关政策和规定要求，制定了相应的配套制度，设有专职人员负责制，明确各级工作职责，规范工作流程，强化程序管理。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根据环卫清扫保洁工作特点，将环卫清扫保洁市场化运行经费纳入我局大额支付审核。每月根据考核情况对清扫保洁质量进行评分，形成督查通报，按实际情况提交局党组会审核，经审批后，再由相关人员按月按时结算环卫清扫保洁月合同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（二）取得绩效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lang w:val="en-US" w:eastAsia="zh-CN"/>
        </w:rPr>
      </w:pPr>
      <w:r>
        <w:rPr>
          <w:rFonts w:hint="eastAsia" w:ascii="Times New Roman" w:hAnsi="Times New Roman" w:eastAsia="仿宋_GB2312" w:cs="Times New Roman"/>
          <w:sz w:val="32"/>
          <w:szCs w:val="32"/>
          <w:lang w:val="en-US" w:eastAsia="zh-CN"/>
        </w:rPr>
        <w:t>2022年环卫保洁绿化补植专项经费项目预算安排资金1855.39万元，全年执行数1820.78万元，执行率98.13%。我单位严格把控资金支出的规范性及合理性，从而使环境卫生、市容市貌明显改善，社会公众满意度明显提升，城市管理水平明显提高，成效明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eastAsia="黑体"/>
          <w:sz w:val="32"/>
          <w:szCs w:val="32"/>
        </w:rPr>
      </w:pPr>
      <w:r>
        <w:rPr>
          <w:rFonts w:hint="eastAsia" w:eastAsia="黑体"/>
          <w:sz w:val="32"/>
          <w:szCs w:val="32"/>
          <w:lang w:val="en-US" w:eastAsia="zh-CN"/>
        </w:rPr>
        <w:t>六、</w:t>
      </w:r>
      <w:r>
        <w:rPr>
          <w:rFonts w:hint="eastAsia" w:eastAsia="黑体"/>
          <w:sz w:val="32"/>
          <w:szCs w:val="32"/>
        </w:rPr>
        <w:t>存在问题及原因分析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一是绩效管理工作初步走向规范，相关人员对于绩效评价的认识不到位，部分对绩效理解还须提升；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28"/>
          <w:szCs w:val="28"/>
          <w:lang w:val="en-US" w:eastAsia="zh-CN"/>
        </w:rPr>
      </w:pPr>
      <w:r>
        <w:rPr>
          <w:rFonts w:hint="eastAsia" w:ascii="Times New Roman" w:hAnsi="Times New Roman" w:eastAsia="仿宋_GB2312" w:cs="Times New Roman"/>
          <w:sz w:val="32"/>
          <w:szCs w:val="32"/>
          <w:lang w:val="en-US" w:eastAsia="zh-CN"/>
        </w:rPr>
        <w:t>二是预算执行进度不均衡，因项目时间安排多集中在下半年，故项目资金支付存在年底较集中的现象。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eastAsia="黑体"/>
          <w:sz w:val="32"/>
          <w:szCs w:val="32"/>
        </w:rPr>
      </w:pPr>
      <w:r>
        <w:rPr>
          <w:rFonts w:hint="eastAsia" w:eastAsia="黑体"/>
          <w:sz w:val="32"/>
          <w:szCs w:val="32"/>
          <w:lang w:val="en-US" w:eastAsia="zh-CN"/>
        </w:rPr>
        <w:t>七、</w:t>
      </w:r>
      <w:r>
        <w:rPr>
          <w:rFonts w:hint="eastAsia" w:eastAsia="黑体"/>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一是应加强对绩效工作人员进行相关的培训及指导，从而使绩效工作更加完善。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二是加快资金拨付进度和项目实施进度，为后续绩效目标的有效实现提供有力支撑。</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pP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pPr>
    </w:p>
    <w:p>
      <w:pPr>
        <w:numPr>
          <w:ilvl w:val="0"/>
          <w:numId w:val="0"/>
        </w:numPr>
        <w:ind w:firstLine="3640" w:firstLineChars="13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六安市叶集区城市管理行政执法局</w:t>
      </w:r>
    </w:p>
    <w:p>
      <w:pPr>
        <w:pStyle w:val="2"/>
        <w:ind w:firstLine="4760" w:firstLineChars="1700"/>
        <w:rPr>
          <w:rFonts w:hint="default"/>
          <w:lang w:val="en-US" w:eastAsia="zh-CN"/>
        </w:rPr>
      </w:pPr>
      <w:r>
        <w:rPr>
          <w:rFonts w:hint="eastAsia" w:ascii="仿宋" w:hAnsi="仿宋" w:eastAsia="仿宋" w:cs="仿宋"/>
          <w:b w:val="0"/>
          <w:bCs w:val="0"/>
          <w:sz w:val="28"/>
          <w:szCs w:val="28"/>
          <w:lang w:val="en-US" w:eastAsia="zh-CN"/>
        </w:rPr>
        <w:t>2023年6月</w:t>
      </w:r>
      <w:r>
        <w:rPr>
          <w:sz w:val="32"/>
        </w:rPr>
        <w:drawing>
          <wp:anchor distT="0" distB="0" distL="114300" distR="114300" simplePos="0" relativeHeight="251659264" behindDoc="0" locked="1" layoutInCell="1" allowOverlap="1">
            <wp:simplePos x="0" y="0"/>
            <wp:positionH relativeFrom="page">
              <wp:posOffset>4076700</wp:posOffset>
            </wp:positionH>
            <wp:positionV relativeFrom="page">
              <wp:posOffset>4245610</wp:posOffset>
            </wp:positionV>
            <wp:extent cx="1572895" cy="1464945"/>
            <wp:effectExtent l="0" t="0" r="8255" b="1905"/>
            <wp:wrapNone/>
            <wp:docPr id="2" name="KG_63520C31$01$43$0001$N$0001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G_63520C31$01$43$0001$N$000100" descr="Seal"/>
                    <pic:cNvPicPr>
                      <a:picLocks noChangeAspect="1"/>
                    </pic:cNvPicPr>
                  </pic:nvPicPr>
                  <pic:blipFill>
                    <a:blip r:embed="rId5"/>
                    <a:stretch>
                      <a:fillRect/>
                    </a:stretch>
                  </pic:blipFill>
                  <pic:spPr>
                    <a:xfrm>
                      <a:off x="0" y="0"/>
                      <a:ext cx="1572895" cy="1464945"/>
                    </a:xfrm>
                    <a:prstGeom prst="rect">
                      <a:avLst/>
                    </a:prstGeom>
                    <a:noFill/>
                    <a:ln>
                      <a:noFill/>
                    </a:ln>
                  </pic:spPr>
                </pic:pic>
              </a:graphicData>
            </a:graphic>
          </wp:anchor>
        </w:drawing>
      </w:r>
      <w:r>
        <w:rPr>
          <w:rFonts w:hint="eastAsia" w:ascii="仿宋" w:hAnsi="仿宋" w:eastAsia="仿宋" w:cs="仿宋"/>
          <w:b w:val="0"/>
          <w:bCs w:val="0"/>
          <w:sz w:val="28"/>
          <w:szCs w:val="28"/>
          <w:lang w:val="en-US" w:eastAsia="zh-CN"/>
        </w:rPr>
        <w:t>1日</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仿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03838A"/>
    <w:multiLevelType w:val="singleLevel"/>
    <w:tmpl w:val="9D03838A"/>
    <w:lvl w:ilvl="0" w:tentative="0">
      <w:start w:val="2"/>
      <w:numFmt w:val="decimal"/>
      <w:suff w:val="nothing"/>
      <w:lvlText w:val="%1、"/>
      <w:lvlJc w:val="left"/>
    </w:lvl>
  </w:abstractNum>
  <w:abstractNum w:abstractNumId="1">
    <w:nsid w:val="B606BDDD"/>
    <w:multiLevelType w:val="singleLevel"/>
    <w:tmpl w:val="B606BDDD"/>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wMmI2NmRmZmY5MDE3YWUxMzg2NzMyN2FjODE2YWIifQ=="/>
  </w:docVars>
  <w:rsids>
    <w:rsidRoot w:val="76657791"/>
    <w:rsid w:val="007C60A2"/>
    <w:rsid w:val="01447D6A"/>
    <w:rsid w:val="01F3521E"/>
    <w:rsid w:val="0261487E"/>
    <w:rsid w:val="02C941D1"/>
    <w:rsid w:val="035B12CD"/>
    <w:rsid w:val="038A3960"/>
    <w:rsid w:val="03B409DD"/>
    <w:rsid w:val="03BE360A"/>
    <w:rsid w:val="04230074"/>
    <w:rsid w:val="053C22A4"/>
    <w:rsid w:val="06257970"/>
    <w:rsid w:val="07225089"/>
    <w:rsid w:val="073454E6"/>
    <w:rsid w:val="08017F69"/>
    <w:rsid w:val="08434DB0"/>
    <w:rsid w:val="08900F41"/>
    <w:rsid w:val="08F31FA8"/>
    <w:rsid w:val="0A595E3B"/>
    <w:rsid w:val="0B2C1AF8"/>
    <w:rsid w:val="0B3348DE"/>
    <w:rsid w:val="0C005A9E"/>
    <w:rsid w:val="0D004C93"/>
    <w:rsid w:val="0DB00467"/>
    <w:rsid w:val="107A6B0B"/>
    <w:rsid w:val="121C431D"/>
    <w:rsid w:val="13070B2A"/>
    <w:rsid w:val="133B4C77"/>
    <w:rsid w:val="141C6857"/>
    <w:rsid w:val="143F0797"/>
    <w:rsid w:val="14951F61"/>
    <w:rsid w:val="15B17473"/>
    <w:rsid w:val="15FA4976"/>
    <w:rsid w:val="16124C15"/>
    <w:rsid w:val="174165D4"/>
    <w:rsid w:val="1804388A"/>
    <w:rsid w:val="194A1770"/>
    <w:rsid w:val="1990114D"/>
    <w:rsid w:val="199944A6"/>
    <w:rsid w:val="19D61256"/>
    <w:rsid w:val="1ABA0B77"/>
    <w:rsid w:val="1AF37BE5"/>
    <w:rsid w:val="1CD87093"/>
    <w:rsid w:val="1D3A5FA0"/>
    <w:rsid w:val="1EF5780F"/>
    <w:rsid w:val="1F274071"/>
    <w:rsid w:val="1F4B0664"/>
    <w:rsid w:val="20452C91"/>
    <w:rsid w:val="2059498F"/>
    <w:rsid w:val="207D68CF"/>
    <w:rsid w:val="21134B3E"/>
    <w:rsid w:val="21505D92"/>
    <w:rsid w:val="216B2BCB"/>
    <w:rsid w:val="21C66054"/>
    <w:rsid w:val="22D138CC"/>
    <w:rsid w:val="231352C9"/>
    <w:rsid w:val="2418246B"/>
    <w:rsid w:val="244A2F6C"/>
    <w:rsid w:val="24533255"/>
    <w:rsid w:val="249D12EE"/>
    <w:rsid w:val="24B2370A"/>
    <w:rsid w:val="25382DC5"/>
    <w:rsid w:val="260D4251"/>
    <w:rsid w:val="26B4291F"/>
    <w:rsid w:val="26D703BB"/>
    <w:rsid w:val="26DE174A"/>
    <w:rsid w:val="27F32686"/>
    <w:rsid w:val="27F65543"/>
    <w:rsid w:val="281A4763"/>
    <w:rsid w:val="288D1679"/>
    <w:rsid w:val="28941167"/>
    <w:rsid w:val="28F701A8"/>
    <w:rsid w:val="29215D79"/>
    <w:rsid w:val="2A1262DA"/>
    <w:rsid w:val="2A9211C9"/>
    <w:rsid w:val="2ADC41F2"/>
    <w:rsid w:val="2AF13065"/>
    <w:rsid w:val="2C224B58"/>
    <w:rsid w:val="2DCC49F2"/>
    <w:rsid w:val="2E3D144C"/>
    <w:rsid w:val="2E903C71"/>
    <w:rsid w:val="2F3C1703"/>
    <w:rsid w:val="2F5C2E71"/>
    <w:rsid w:val="2F8C268B"/>
    <w:rsid w:val="2FF11021"/>
    <w:rsid w:val="306F78B6"/>
    <w:rsid w:val="31E4216D"/>
    <w:rsid w:val="32130E41"/>
    <w:rsid w:val="323E39E4"/>
    <w:rsid w:val="331A61FF"/>
    <w:rsid w:val="33527747"/>
    <w:rsid w:val="337551E4"/>
    <w:rsid w:val="348953EB"/>
    <w:rsid w:val="348E2A01"/>
    <w:rsid w:val="35246EC1"/>
    <w:rsid w:val="357E2A76"/>
    <w:rsid w:val="366612B8"/>
    <w:rsid w:val="37773C20"/>
    <w:rsid w:val="38AA1DD4"/>
    <w:rsid w:val="3A5B15D7"/>
    <w:rsid w:val="3B305E9F"/>
    <w:rsid w:val="3B5953EB"/>
    <w:rsid w:val="3BF910A8"/>
    <w:rsid w:val="3C616C4D"/>
    <w:rsid w:val="3C6D114E"/>
    <w:rsid w:val="3CB11983"/>
    <w:rsid w:val="3CB44FCF"/>
    <w:rsid w:val="3D0777F5"/>
    <w:rsid w:val="3D295F08"/>
    <w:rsid w:val="3D2F0AF9"/>
    <w:rsid w:val="3D54230E"/>
    <w:rsid w:val="3D74650C"/>
    <w:rsid w:val="3D7D7AB7"/>
    <w:rsid w:val="3DCE20C0"/>
    <w:rsid w:val="3DE03BA2"/>
    <w:rsid w:val="3F8E1B07"/>
    <w:rsid w:val="3FB2727F"/>
    <w:rsid w:val="3FC053F3"/>
    <w:rsid w:val="3FE45BCB"/>
    <w:rsid w:val="40520D87"/>
    <w:rsid w:val="406D3778"/>
    <w:rsid w:val="407A652F"/>
    <w:rsid w:val="40890521"/>
    <w:rsid w:val="40CF6F9D"/>
    <w:rsid w:val="41614FF9"/>
    <w:rsid w:val="42325FE5"/>
    <w:rsid w:val="429C09DF"/>
    <w:rsid w:val="445F7D66"/>
    <w:rsid w:val="447F4114"/>
    <w:rsid w:val="45050ABD"/>
    <w:rsid w:val="486E0728"/>
    <w:rsid w:val="48F22DF4"/>
    <w:rsid w:val="491A265E"/>
    <w:rsid w:val="4A2E7EC3"/>
    <w:rsid w:val="4A58168F"/>
    <w:rsid w:val="4A6E5F7B"/>
    <w:rsid w:val="4B3D6AD7"/>
    <w:rsid w:val="4B813B3A"/>
    <w:rsid w:val="4B944949"/>
    <w:rsid w:val="4BCD1C09"/>
    <w:rsid w:val="4BDD6CE9"/>
    <w:rsid w:val="4BDF6AD5"/>
    <w:rsid w:val="4C003D8D"/>
    <w:rsid w:val="4C3D67A3"/>
    <w:rsid w:val="4D4D1254"/>
    <w:rsid w:val="4E141D71"/>
    <w:rsid w:val="4E9407BC"/>
    <w:rsid w:val="4EA604F0"/>
    <w:rsid w:val="4EB61D4C"/>
    <w:rsid w:val="4FDF1F0B"/>
    <w:rsid w:val="526D1A50"/>
    <w:rsid w:val="541A5C08"/>
    <w:rsid w:val="54B0031A"/>
    <w:rsid w:val="556F788D"/>
    <w:rsid w:val="561072C2"/>
    <w:rsid w:val="562543F0"/>
    <w:rsid w:val="56757125"/>
    <w:rsid w:val="567710EF"/>
    <w:rsid w:val="56E00FBF"/>
    <w:rsid w:val="57942016"/>
    <w:rsid w:val="57C77E54"/>
    <w:rsid w:val="597E09E7"/>
    <w:rsid w:val="5999137D"/>
    <w:rsid w:val="59D32AE1"/>
    <w:rsid w:val="5B7C0770"/>
    <w:rsid w:val="5BA65FD3"/>
    <w:rsid w:val="5BE07737"/>
    <w:rsid w:val="5CC26E3C"/>
    <w:rsid w:val="5D8F31C2"/>
    <w:rsid w:val="5DC50992"/>
    <w:rsid w:val="5DC52B40"/>
    <w:rsid w:val="5E9510CF"/>
    <w:rsid w:val="5FC30F01"/>
    <w:rsid w:val="61753AE1"/>
    <w:rsid w:val="617D1968"/>
    <w:rsid w:val="61B01959"/>
    <w:rsid w:val="61D56111"/>
    <w:rsid w:val="62620EA5"/>
    <w:rsid w:val="63584057"/>
    <w:rsid w:val="640146EE"/>
    <w:rsid w:val="64AD1CEC"/>
    <w:rsid w:val="64E262CE"/>
    <w:rsid w:val="64F658D5"/>
    <w:rsid w:val="66BE0674"/>
    <w:rsid w:val="678D2B4F"/>
    <w:rsid w:val="68664B20"/>
    <w:rsid w:val="686B0388"/>
    <w:rsid w:val="68B95597"/>
    <w:rsid w:val="69296EE0"/>
    <w:rsid w:val="6C663340"/>
    <w:rsid w:val="6CAE4CE7"/>
    <w:rsid w:val="6CB26586"/>
    <w:rsid w:val="6D54588F"/>
    <w:rsid w:val="6E05302D"/>
    <w:rsid w:val="6E7F5225"/>
    <w:rsid w:val="6ED21161"/>
    <w:rsid w:val="6F32346A"/>
    <w:rsid w:val="6FFB3825"/>
    <w:rsid w:val="7005448A"/>
    <w:rsid w:val="704A7A42"/>
    <w:rsid w:val="717B7C74"/>
    <w:rsid w:val="71864485"/>
    <w:rsid w:val="71C34D91"/>
    <w:rsid w:val="71CB1E97"/>
    <w:rsid w:val="722D7D43"/>
    <w:rsid w:val="724F4877"/>
    <w:rsid w:val="74C23A26"/>
    <w:rsid w:val="74E120FE"/>
    <w:rsid w:val="74F36EB3"/>
    <w:rsid w:val="75B72E5F"/>
    <w:rsid w:val="75BE5F9B"/>
    <w:rsid w:val="76657791"/>
    <w:rsid w:val="77470212"/>
    <w:rsid w:val="77602396"/>
    <w:rsid w:val="78545FAE"/>
    <w:rsid w:val="78564BB1"/>
    <w:rsid w:val="78570929"/>
    <w:rsid w:val="78B2790D"/>
    <w:rsid w:val="79C36276"/>
    <w:rsid w:val="7A574C10"/>
    <w:rsid w:val="7A666C01"/>
    <w:rsid w:val="7AA77C78"/>
    <w:rsid w:val="7AAC0AB8"/>
    <w:rsid w:val="7ABE07EB"/>
    <w:rsid w:val="7B55770E"/>
    <w:rsid w:val="7B771530"/>
    <w:rsid w:val="7BB1692C"/>
    <w:rsid w:val="7BEE6EAE"/>
    <w:rsid w:val="7C2B3C5E"/>
    <w:rsid w:val="7C547659"/>
    <w:rsid w:val="7D2C5EE0"/>
    <w:rsid w:val="7D3D633F"/>
    <w:rsid w:val="7E1247A7"/>
    <w:rsid w:val="7ECA5C64"/>
    <w:rsid w:val="7FF211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99"/>
    <w:pPr>
      <w:keepNext/>
      <w:keepLines/>
      <w:widowControl w:val="0"/>
      <w:spacing w:before="260" w:after="260"/>
      <w:jc w:val="center"/>
      <w:outlineLvl w:val="1"/>
    </w:pPr>
    <w:rPr>
      <w:rFonts w:eastAsia="华文中宋" w:cs="Times New Roman"/>
      <w:b/>
      <w:bCs/>
      <w:szCs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PlainText"/>
    <w:basedOn w:val="1"/>
    <w:qFormat/>
    <w:uiPriority w:val="0"/>
    <w:rPr>
      <w:rFonts w:ascii="宋体" w:hAnsi="Courier New"/>
    </w:rPr>
  </w:style>
  <w:style w:type="paragraph" w:styleId="4">
    <w:name w:val="Body Text Indent"/>
    <w:basedOn w:val="1"/>
    <w:qFormat/>
    <w:uiPriority w:val="0"/>
    <w:pPr>
      <w:spacing w:after="120"/>
      <w:ind w:left="420" w:leftChars="200"/>
    </w:pPr>
    <w:rPr>
      <w:szCs w:val="20"/>
    </w:rPr>
  </w:style>
  <w:style w:type="paragraph" w:styleId="5">
    <w:name w:val="Body Text Indent 2"/>
    <w:basedOn w:val="1"/>
    <w:qFormat/>
    <w:uiPriority w:val="0"/>
    <w:pPr>
      <w:spacing w:line="590" w:lineRule="exact"/>
      <w:ind w:firstLine="880" w:firstLineChars="200"/>
    </w:pPr>
    <w:rPr>
      <w:rFonts w:ascii="Calibri" w:hAnsi="Calibri" w:eastAsia="方正仿宋_GBK"/>
      <w:sz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Body Text First Indent 2"/>
    <w:basedOn w:val="4"/>
    <w:qFormat/>
    <w:uiPriority w:val="0"/>
    <w:pPr>
      <w:ind w:firstLine="420" w:firstLineChars="200"/>
    </w:p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qFormat/>
    <w:uiPriority w:val="0"/>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3246</Words>
  <Characters>3464</Characters>
  <Lines>0</Lines>
  <Paragraphs>0</Paragraphs>
  <TotalTime>0</TotalTime>
  <ScaleCrop>false</ScaleCrop>
  <LinksUpToDate>false</LinksUpToDate>
  <CharactersWithSpaces>3477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2022-05-18T02:25:00Z</dcterms:created>
  <dc:creator>隐约</dc:creator>
  <cp:lastModifiedBy>PC</cp:lastModifiedBy>
  <cp:lastPrinted>2022-05-18T03:58:00Z</cp:lastPrinted>
  <dcterms:modified xsi:type="dcterms:W3CDTF">2023-08-20T09:13:57Z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8C608FF5FA884DEA9B67E504CEA21D95_13</vt:lpwstr>
  </property>
</Properties>
</file>