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附件2</w:t>
      </w:r>
    </w:p>
    <w:p>
      <w:pPr>
        <w:spacing w:line="576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项目支出绩效自评表</w:t>
      </w:r>
    </w:p>
    <w:p>
      <w:pPr>
        <w:spacing w:line="576" w:lineRule="exact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楷体_GB2312"/>
          <w:sz w:val="32"/>
          <w:szCs w:val="32"/>
        </w:rPr>
        <w:t>（2022年度）</w:t>
      </w:r>
    </w:p>
    <w:tbl>
      <w:tblPr>
        <w:tblStyle w:val="4"/>
        <w:tblW w:w="12748" w:type="dxa"/>
        <w:tblInd w:w="-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2410"/>
        <w:gridCol w:w="1559"/>
        <w:gridCol w:w="1559"/>
        <w:gridCol w:w="1639"/>
        <w:gridCol w:w="1110"/>
        <w:gridCol w:w="1379"/>
        <w:gridCol w:w="18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482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城市管理行政执法工作经费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55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035-六安市叶集区城市管理行政执法局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4315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035001-六安市叶集区城市管理行政执法局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项目资金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63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403.2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403.2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278.667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69.11%</w:t>
            </w:r>
          </w:p>
        </w:tc>
        <w:tc>
          <w:tcPr>
            <w:tcW w:w="182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6.91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其中：本年财政拨款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403.2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403.2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278.667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37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上年结转资金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37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37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6" w:type="dxa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年度总体目标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595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实际完成情况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126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加强城市管理工作，提高行政执法水平和效能，规范城市管理领域综合行政执法和相对集中行政处罚权的实施，保护公民、法人、和其他组织的合法权益。</w:t>
            </w:r>
          </w:p>
        </w:tc>
        <w:tc>
          <w:tcPr>
            <w:tcW w:w="5954" w:type="dxa"/>
            <w:gridSpan w:val="4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立足职能职责，锚定年度目标任务，上下同心，竭力奋进，全面推进各项工作开展，达到加强城市管理工作，提高行政执法水平和效能，规范城市管理领域综合行政执法和相对集中行政处罚权的实施，保护公民、法人、和其他组织的合法权益目标。</w:t>
            </w:r>
          </w:p>
        </w:tc>
      </w:tr>
    </w:tbl>
    <w:p>
      <w:pPr>
        <w:spacing w:line="20" w:lineRule="exact"/>
      </w:pPr>
    </w:p>
    <w:tbl>
      <w:tblPr>
        <w:tblStyle w:val="4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721"/>
        <w:gridCol w:w="1733"/>
        <w:gridCol w:w="3180"/>
        <w:gridCol w:w="1736"/>
        <w:gridCol w:w="1157"/>
        <w:gridCol w:w="868"/>
        <w:gridCol w:w="793"/>
        <w:gridCol w:w="187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30" w:type="pct"/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23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  <w:t xml:space="preserve"> 度</w:t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 xml:space="preserve">实 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  <w:t xml:space="preserve"> 际</w:t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完成值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30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偏差原因分析及改进措施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279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产出指标(50分)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行政处罚案件数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≥100件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实际处政处罚案件数大于100，为134件。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大型户外广告监管数量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≥15个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拆除违建面积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≥5000㎡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每日捕捉犬只数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≥3只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实际年度捕捉犬只419只，每日大于1只。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执法人员数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≥112人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违法建设案件数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≥10件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经费支出合规性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合规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违规大型户外广告拆除率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城市管理执法案件结案率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城市管理执法案件立案及时性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及时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城市管理执法案件结案及时性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及时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拆违成本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≤1000000元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430000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拆违成本实际为43万元。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行政执法成本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≤960000元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960000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养犬管理成本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≤450000元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96370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30" w:type="pct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279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效益指标(30分)</w:t>
            </w:r>
          </w:p>
        </w:tc>
        <w:tc>
          <w:tcPr>
            <w:tcW w:w="67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对提高行政执法水平和效能的影响程度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较高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城管执法长效机制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健全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30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满意度指标(10分)</w:t>
            </w:r>
          </w:p>
        </w:tc>
        <w:tc>
          <w:tcPr>
            <w:tcW w:w="67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公众满意度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183" w:type="pct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总 </w:t>
            </w:r>
            <w:r>
              <w:rPr>
                <w:rFonts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分</w:t>
            </w:r>
          </w:p>
        </w:tc>
        <w:tc>
          <w:tcPr>
            <w:tcW w:w="4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94.91</w:t>
            </w:r>
          </w:p>
        </w:tc>
        <w:tc>
          <w:tcPr>
            <w:tcW w:w="726" w:type="pct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576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</w:p>
    <w:p>
      <w:pPr>
        <w:widowControl/>
        <w:jc w:val="lef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br w:type="page"/>
      </w:r>
    </w:p>
    <w:p>
      <w:pPr>
        <w:spacing w:line="576" w:lineRule="exact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pacing w:line="576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项目支出绩效自评表</w:t>
      </w:r>
    </w:p>
    <w:p>
      <w:pPr>
        <w:spacing w:line="576" w:lineRule="exact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楷体_GB2312"/>
          <w:sz w:val="32"/>
          <w:szCs w:val="32"/>
        </w:rPr>
        <w:t>（2022年度）</w:t>
      </w:r>
    </w:p>
    <w:tbl>
      <w:tblPr>
        <w:tblStyle w:val="4"/>
        <w:tblW w:w="1266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2126"/>
        <w:gridCol w:w="1418"/>
        <w:gridCol w:w="1417"/>
        <w:gridCol w:w="1519"/>
        <w:gridCol w:w="1742"/>
        <w:gridCol w:w="1134"/>
        <w:gridCol w:w="2052"/>
      </w:tblGrid>
      <w:tr>
        <w:trPr>
          <w:cantSplit/>
          <w:trHeight w:val="624" w:hRule="atLeast"/>
        </w:trPr>
        <w:tc>
          <w:tcPr>
            <w:tcW w:w="126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408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环卫保洁绿化补植专项经费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035-六安市叶集区城市管理行政执法局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4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035001-六安市叶集区城市管理行政执法局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项目资金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1855.387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1855.387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1820.781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98.13%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其中：本年财政拨款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1855.387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1855.387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1820.781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上年结转资金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年度总体目标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64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12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维护城市环境，提升城市形象。区城管局切实履行职责，进一步健全完善监督考核机制，强化督查考核，向管理要效益,全力创建整洁文明的城区环境卫生新形象。</w:t>
            </w:r>
          </w:p>
        </w:tc>
        <w:tc>
          <w:tcPr>
            <w:tcW w:w="64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实施环卫深度保洁，将城区住宅小区临街退让部分正式纳入保洁范围，真正做到“一把扫帚扫全城”；城市清洁水平不断提升。实施城区部分道路绿化补植，不断美化城市环境。</w:t>
            </w:r>
          </w:p>
        </w:tc>
      </w:tr>
    </w:tbl>
    <w:p/>
    <w:tbl>
      <w:tblPr>
        <w:tblStyle w:val="4"/>
        <w:tblW w:w="12927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51"/>
        <w:gridCol w:w="992"/>
        <w:gridCol w:w="3091"/>
        <w:gridCol w:w="2012"/>
        <w:gridCol w:w="1417"/>
        <w:gridCol w:w="993"/>
        <w:gridCol w:w="850"/>
        <w:gridCol w:w="20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</w:trPr>
        <w:tc>
          <w:tcPr>
            <w:tcW w:w="709" w:type="dxa"/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09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年度指标值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实际完成值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偏差原因分析及改进措施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产出指标(50分)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垃圾清扫保洁面积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≥3202377.8㎡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3519937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公厕运行管理数量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≥20座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广场运行管理数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≥6个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绿化补植面积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≥1000㎡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果皮箱购置数量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＝100个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本着厉行节约标准，果皮箱未购置。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垃圾清扫保洁达标率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＝100%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广场及公厕运行管理达标率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＝100%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经费支出合规性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合规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垃圾清扫保洁及时性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及时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绿化补植及时性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及时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绿化补植成本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≤400000元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401929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环卫保洁成本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≤17933872元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17828075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广场及公厕远行管理成本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≤220000元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214836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</w:trPr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效益指标(30分)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对改善城市人居环境，提高居民生活品质的效果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效果显著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对保障环境卫生持续改善的影响程度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较高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3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满意度指标(10分)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30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≥95%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82" w:hRule="atLeast"/>
        </w:trPr>
        <w:tc>
          <w:tcPr>
            <w:tcW w:w="5643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总 </w:t>
            </w:r>
            <w:r>
              <w:rPr>
                <w:rFonts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分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97.81</w:t>
            </w:r>
          </w:p>
        </w:tc>
        <w:tc>
          <w:tcPr>
            <w:tcW w:w="2012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576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</w:p>
    <w:p>
      <w:pPr>
        <w:widowControl/>
        <w:jc w:val="lef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br w:type="page"/>
      </w:r>
    </w:p>
    <w:p>
      <w:pPr>
        <w:spacing w:line="576" w:lineRule="exact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pacing w:line="576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项目支出绩效自评表</w:t>
      </w:r>
    </w:p>
    <w:p>
      <w:pPr>
        <w:spacing w:line="576" w:lineRule="exact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楷体_GB2312"/>
          <w:sz w:val="32"/>
          <w:szCs w:val="32"/>
        </w:rPr>
        <w:t>（2022年度）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2410"/>
        <w:gridCol w:w="1417"/>
        <w:gridCol w:w="1555"/>
        <w:gridCol w:w="1564"/>
        <w:gridCol w:w="1417"/>
        <w:gridCol w:w="1134"/>
        <w:gridCol w:w="17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03" w:type="dxa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266" w:type="dxa"/>
            <w:gridSpan w:val="7"/>
            <w:tcBorders>
              <w:top w:val="single" w:color="auto" w:sz="12" w:space="0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新老垃圾场及中转站工作经费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03" w:type="dxa"/>
            <w:tcBorders>
              <w:top w:val="single" w:color="000000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538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035-六安市叶集区城市管理行政执法局</w:t>
            </w:r>
          </w:p>
        </w:tc>
        <w:tc>
          <w:tcPr>
            <w:tcW w:w="15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432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035001-六安市叶集区城市管理行政执法局</w:t>
            </w:r>
          </w:p>
        </w:tc>
      </w:tr>
      <w:tr>
        <w:trPr>
          <w:cantSplit/>
          <w:trHeight w:val="737" w:hRule="atLeast"/>
        </w:trPr>
        <w:tc>
          <w:tcPr>
            <w:tcW w:w="1403" w:type="dxa"/>
            <w:vMerge w:val="restart"/>
            <w:tcBorders>
              <w:top w:val="single" w:color="000000" w:sz="4" w:space="0"/>
              <w:left w:val="single" w:color="auto" w:sz="12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项目资金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5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03" w:type="dxa"/>
            <w:vMerge w:val="continue"/>
            <w:tcBorders>
              <w:top w:val="single" w:color="000000" w:sz="4" w:space="0"/>
              <w:left w:val="single" w:color="auto" w:sz="12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424.4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424.4</w:t>
            </w:r>
          </w:p>
        </w:tc>
        <w:tc>
          <w:tcPr>
            <w:tcW w:w="15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415.613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97.93%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03" w:type="dxa"/>
            <w:vMerge w:val="continue"/>
            <w:tcBorders>
              <w:top w:val="single" w:color="000000" w:sz="4" w:space="0"/>
              <w:left w:val="single" w:color="auto" w:sz="12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其中：本年财政拨款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424.4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424.4</w:t>
            </w:r>
          </w:p>
        </w:tc>
        <w:tc>
          <w:tcPr>
            <w:tcW w:w="15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415.613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03" w:type="dxa"/>
            <w:vMerge w:val="continue"/>
            <w:tcBorders>
              <w:top w:val="single" w:color="000000" w:sz="4" w:space="0"/>
              <w:left w:val="single" w:color="auto" w:sz="12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上年结转资金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03" w:type="dxa"/>
            <w:vMerge w:val="continue"/>
            <w:tcBorders>
              <w:top w:val="single" w:color="000000" w:sz="4" w:space="0"/>
              <w:left w:val="single" w:color="auto" w:sz="12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03" w:type="dxa"/>
            <w:vMerge w:val="restart"/>
            <w:tcBorders>
              <w:top w:val="single" w:color="000000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年度总体目标</w:t>
            </w:r>
          </w:p>
        </w:tc>
        <w:tc>
          <w:tcPr>
            <w:tcW w:w="538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588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03" w:type="dxa"/>
            <w:vMerge w:val="continue"/>
            <w:tcBorders>
              <w:top w:val="single" w:color="000000" w:sz="4" w:space="0"/>
              <w:left w:val="single" w:color="auto" w:sz="12" w:space="0"/>
              <w:bottom w:val="single" w:color="auto" w:sz="12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82" w:type="dxa"/>
            <w:gridSpan w:val="3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确保生活垃圾处理日产日清，垃圾卫生填埋处理达到标准化、无害化处理，在线监测设备运营维护，生活垃圾无害化处理达98％以上。</w:t>
            </w:r>
          </w:p>
        </w:tc>
        <w:tc>
          <w:tcPr>
            <w:tcW w:w="5884" w:type="dxa"/>
            <w:gridSpan w:val="4"/>
            <w:tcBorders>
              <w:top w:val="single" w:color="000000" w:sz="4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生活垃圾处理达到日产日清，垃圾卫生填埋处理达到标准化、无害化处理，在线监测设备运营维护，生活垃圾无害化处理达98％以上。</w:t>
            </w:r>
          </w:p>
        </w:tc>
      </w:tr>
    </w:tbl>
    <w:p/>
    <w:tbl>
      <w:tblPr>
        <w:tblStyle w:val="4"/>
        <w:tblW w:w="12927" w:type="dxa"/>
        <w:tblInd w:w="-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849"/>
        <w:gridCol w:w="1134"/>
        <w:gridCol w:w="3261"/>
        <w:gridCol w:w="1701"/>
        <w:gridCol w:w="1701"/>
        <w:gridCol w:w="850"/>
        <w:gridCol w:w="851"/>
        <w:gridCol w:w="17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84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年度指标值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实际完成值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173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偏差原因分析及改进措施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2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产出指标(50分)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焚烧垃圾处理量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≥49300吨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49800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垃圾中转处理数量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≥52925吨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53000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处理餐厨垃圾数量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≥3650吨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3680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生活垃圾无害化处理率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≥98%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经费支出合规性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合规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垃圾处理及时性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及时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经费支出时效性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序时进度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垃圾中转站成本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≤200000元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50000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预算内指标统筹使用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新垃圾填埋成本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≤4000000元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4120000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预算内指标统筹使用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842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效益指标(30分)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合理处置垃圾有效保护环境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效果显著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保障环境卫生持续改善的影响程度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较高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满意度指标(10分)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≥95%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787" w:type="dxa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总 </w:t>
            </w:r>
            <w:r>
              <w:rPr>
                <w:rFonts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分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97.79</w:t>
            </w:r>
          </w:p>
        </w:tc>
        <w:tc>
          <w:tcPr>
            <w:tcW w:w="1738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br w:type="page"/>
      </w:r>
    </w:p>
    <w:p>
      <w:pPr>
        <w:spacing w:line="576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76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项目支出绩效自评表</w:t>
      </w:r>
    </w:p>
    <w:p>
      <w:pPr>
        <w:spacing w:line="576" w:lineRule="exact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楷体_GB2312"/>
          <w:sz w:val="32"/>
          <w:szCs w:val="32"/>
        </w:rPr>
        <w:t>（2022年度）</w:t>
      </w:r>
    </w:p>
    <w:tbl>
      <w:tblPr>
        <w:tblStyle w:val="4"/>
        <w:tblW w:w="126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2268"/>
        <w:gridCol w:w="1418"/>
        <w:gridCol w:w="1559"/>
        <w:gridCol w:w="1417"/>
        <w:gridCol w:w="1583"/>
        <w:gridCol w:w="1583"/>
        <w:gridCol w:w="15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61" w:type="dxa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411" w:type="dxa"/>
            <w:gridSpan w:val="7"/>
            <w:tcBorders>
              <w:top w:val="single" w:color="auto" w:sz="12" w:space="0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市政设施维护经费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61" w:type="dxa"/>
            <w:tcBorders>
              <w:top w:val="single" w:color="000000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524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035-六安市叶集区城市管理行政执法局</w:t>
            </w:r>
          </w:p>
        </w:tc>
        <w:tc>
          <w:tcPr>
            <w:tcW w:w="14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474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035001-六安市叶集区城市管理行政执法局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61" w:type="dxa"/>
            <w:vMerge w:val="restart"/>
            <w:tcBorders>
              <w:top w:val="single" w:color="000000" w:sz="4" w:space="0"/>
              <w:left w:val="single" w:color="auto" w:sz="12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项目资金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61" w:type="dxa"/>
            <w:vMerge w:val="continue"/>
            <w:tcBorders>
              <w:top w:val="single" w:color="000000" w:sz="4" w:space="0"/>
              <w:left w:val="single" w:color="auto" w:sz="12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588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417.392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70.99%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7.10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61" w:type="dxa"/>
            <w:vMerge w:val="continue"/>
            <w:tcBorders>
              <w:top w:val="single" w:color="000000" w:sz="4" w:space="0"/>
              <w:left w:val="single" w:color="auto" w:sz="12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其中：本年财政拨款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588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417.392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61" w:type="dxa"/>
            <w:vMerge w:val="continue"/>
            <w:tcBorders>
              <w:top w:val="single" w:color="000000" w:sz="4" w:space="0"/>
              <w:left w:val="single" w:color="auto" w:sz="12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上年结转资金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61" w:type="dxa"/>
            <w:vMerge w:val="continue"/>
            <w:tcBorders>
              <w:top w:val="single" w:color="000000" w:sz="4" w:space="0"/>
              <w:left w:val="single" w:color="auto" w:sz="12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737" w:hRule="atLeast"/>
        </w:trPr>
        <w:tc>
          <w:tcPr>
            <w:tcW w:w="1261" w:type="dxa"/>
            <w:vMerge w:val="restart"/>
            <w:tcBorders>
              <w:top w:val="single" w:color="000000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年度</w:t>
            </w:r>
          </w:p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总体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目标</w:t>
            </w:r>
          </w:p>
        </w:tc>
        <w:tc>
          <w:tcPr>
            <w:tcW w:w="524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616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61" w:type="dxa"/>
            <w:vMerge w:val="continue"/>
            <w:tcBorders>
              <w:top w:val="single" w:color="000000" w:sz="4" w:space="0"/>
              <w:left w:val="single" w:color="auto" w:sz="12" w:space="0"/>
              <w:bottom w:val="single" w:color="auto" w:sz="12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市政设施方面随时发现问题随时检修、更换，确保相关设备设施安全有序运行。确保相关市政设施安全，服务于广大人民群众。</w:t>
            </w:r>
          </w:p>
        </w:tc>
        <w:tc>
          <w:tcPr>
            <w:tcW w:w="6166" w:type="dxa"/>
            <w:gridSpan w:val="4"/>
            <w:tcBorders>
              <w:top w:val="single" w:color="000000" w:sz="4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达到市政设施方面随时发现问题随时检修、更换，确保相关设备设施安全有序运行目标。确保相关市政设施安全，服务于广大人民群众。</w:t>
            </w:r>
          </w:p>
        </w:tc>
      </w:tr>
    </w:tbl>
    <w:p/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992"/>
        <w:gridCol w:w="1701"/>
        <w:gridCol w:w="2693"/>
        <w:gridCol w:w="1418"/>
        <w:gridCol w:w="1559"/>
        <w:gridCol w:w="709"/>
        <w:gridCol w:w="850"/>
        <w:gridCol w:w="19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83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一级</w:t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年度指标值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实际完成值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19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偏差原因分析及改进措施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36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产出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指标(50分)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城区、开发区雨、污水管网长度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≥200公里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213.9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污泥处理数量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≥5000吨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实际支付4000吨。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路灯专用变压器数量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≥25台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2022年新移交的变压器。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市政排水及附属设施完好率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路灯亮灯率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≥98%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经费支出合规性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合规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市政排水设施维护及时率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＝100%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路灯损坏修护及时性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及时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污泥处理成本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≤1100000元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600000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路灯合同能源管理成本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≤4020000元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4020000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36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效益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指标(30分)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对改善人居环境提升城市品质的影响程度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较高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市政设施维护长效机制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健全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满意度指标(10分)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≥95%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640" w:type="dxa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总 </w:t>
            </w:r>
            <w:r>
              <w:rPr>
                <w:rFonts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95.10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576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</w:p>
    <w:p>
      <w:pPr>
        <w:widowControl/>
        <w:jc w:val="lef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br w:type="page"/>
      </w:r>
    </w:p>
    <w:p>
      <w:pPr>
        <w:spacing w:line="576" w:lineRule="exact"/>
        <w:jc w:val="left"/>
        <w:rPr>
          <w:rFonts w:ascii="Times New Roman" w:hAnsi="Times New Roman" w:eastAsia="黑体"/>
          <w:sz w:val="32"/>
          <w:szCs w:val="32"/>
        </w:rPr>
      </w:pPr>
      <w:bookmarkStart w:id="0" w:name="_GoBack"/>
      <w:bookmarkEnd w:id="0"/>
    </w:p>
    <w:p>
      <w:pPr>
        <w:spacing w:line="576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项目支出绩效自评表</w:t>
      </w:r>
    </w:p>
    <w:p>
      <w:pPr>
        <w:spacing w:line="576" w:lineRule="exact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楷体_GB2312"/>
          <w:sz w:val="32"/>
          <w:szCs w:val="32"/>
        </w:rPr>
        <w:t>（2022年度）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2410"/>
        <w:gridCol w:w="1417"/>
        <w:gridCol w:w="1549"/>
        <w:gridCol w:w="1360"/>
        <w:gridCol w:w="1557"/>
        <w:gridCol w:w="1557"/>
        <w:gridCol w:w="15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408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垃圾处理专项经费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537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035-六安市叶集区城市管理行政执法局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467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035001-六安市叶集区城市管理行政执法局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项目资金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5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 xml:space="preserve">全 </w:t>
            </w:r>
            <w:r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执行数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660</w:t>
            </w:r>
          </w:p>
        </w:tc>
        <w:tc>
          <w:tcPr>
            <w:tcW w:w="154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660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330.978</w:t>
            </w:r>
          </w:p>
        </w:tc>
        <w:tc>
          <w:tcPr>
            <w:tcW w:w="155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5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50.15%</w:t>
            </w:r>
          </w:p>
        </w:tc>
        <w:tc>
          <w:tcPr>
            <w:tcW w:w="15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5.01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其中：本年财政拨款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660</w:t>
            </w:r>
          </w:p>
        </w:tc>
        <w:tc>
          <w:tcPr>
            <w:tcW w:w="154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660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330.978</w:t>
            </w:r>
          </w:p>
        </w:tc>
        <w:tc>
          <w:tcPr>
            <w:tcW w:w="155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55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上年结转资金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4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5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55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4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5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55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261" w:type="dxa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年度总体目标</w:t>
            </w:r>
          </w:p>
        </w:tc>
        <w:tc>
          <w:tcPr>
            <w:tcW w:w="5376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实际完成情况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126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76" w:type="dxa"/>
            <w:gridSpan w:val="3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每日产生的垃圾及时进行无害化处理并加以合理利用，以免垃圾影响居民日常的健康和生活质量。</w:t>
            </w:r>
          </w:p>
        </w:tc>
        <w:tc>
          <w:tcPr>
            <w:tcW w:w="6032" w:type="dxa"/>
            <w:gridSpan w:val="4"/>
            <w:shd w:val="clear" w:color="auto" w:fill="auto"/>
            <w:vAlign w:val="center"/>
          </w:tcPr>
          <w:p>
            <w:pPr>
              <w:widowControl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施生活垃圾无害化处理，全年焚烧处理生活垃圾4.98万吨，无害化处理率100%；加快推进生活垃圾分类，启动生活垃圾分类亭建设项目，在城区部分小区、机关事业单位办公区建设分类收集亭85处，分类试点全面铺开。</w:t>
            </w:r>
          </w:p>
        </w:tc>
      </w:tr>
    </w:tbl>
    <w:p/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010"/>
        <w:gridCol w:w="1276"/>
        <w:gridCol w:w="2693"/>
        <w:gridCol w:w="1701"/>
        <w:gridCol w:w="1701"/>
        <w:gridCol w:w="709"/>
        <w:gridCol w:w="850"/>
        <w:gridCol w:w="19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81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一级</w:t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年度指标值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实际完成值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19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偏差原因分析及改进措施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18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产出指标(50分)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垃圾分类投放点数量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≤85处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生活垃圾日处理量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≤135吨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134.8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厨余垃圾日无害化处理量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≤10吨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垃圾无害化处理率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＝100%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生活垃圾分类覆盖率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经费支出合规性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合规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垃圾处理及时性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及时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项目完成及时性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及时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垃圾处理成本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≤4600000元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3300000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生活垃圾分类处理成本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≤2000000元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因未实施垃圾分类市场化运营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8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效益指标(30分)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对改善城市环境的影响程度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较高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垃圾处理长效机制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健全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达成预期指标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81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满意度指标(10分)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498" w:type="dxa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总 </w:t>
            </w:r>
            <w:r>
              <w:rPr>
                <w:rFonts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szCs w:val="24"/>
              </w:rPr>
              <w:t>92.01</w:t>
            </w:r>
          </w:p>
        </w:tc>
        <w:tc>
          <w:tcPr>
            <w:tcW w:w="19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576" w:lineRule="exact"/>
        <w:ind w:firstLine="480" w:firstLineChars="200"/>
        <w:rPr>
          <w:rFonts w:hint="eastAsia" w:ascii="Times New Roman" w:hAnsi="Times New Roman" w:eastAsia="宋体"/>
          <w:sz w:val="24"/>
          <w:szCs w:val="24"/>
        </w:rPr>
      </w:pPr>
    </w:p>
    <w:sectPr>
      <w:footerReference r:id="rId3" w:type="default"/>
      <w:footerReference r:id="rId4" w:type="even"/>
      <w:pgSz w:w="16838" w:h="11906" w:orient="landscape"/>
      <w:pgMar w:top="1531" w:right="2098" w:bottom="1531" w:left="2041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315" w:leftChars="150" w:right="315" w:rightChars="150" w:firstLine="560"/>
      <w:jc w:val="right"/>
      <w:rPr>
        <w:rFonts w:ascii="Times New Roman" w:hAnsi="Times New Roman" w:cs="Times New Roman"/>
      </w:rPr>
    </w:pPr>
    <w:r>
      <w:rPr>
        <w:rStyle w:val="6"/>
        <w:rFonts w:ascii="Times New Roman" w:hAnsi="Times New Roman" w:cs="Times New Roman"/>
        <w:sz w:val="28"/>
        <w:szCs w:val="28"/>
      </w:rPr>
      <w:t xml:space="preserve">— </w:t>
    </w:r>
    <w:r>
      <w:rPr>
        <w:rStyle w:val="6"/>
        <w:rFonts w:ascii="Times New Roman" w:hAnsi="Times New Roman" w:cs="Times New Roman"/>
        <w:sz w:val="28"/>
        <w:szCs w:val="28"/>
      </w:rPr>
      <w:fldChar w:fldCharType="begin"/>
    </w:r>
    <w:r>
      <w:rPr>
        <w:rStyle w:val="6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6"/>
        <w:rFonts w:ascii="Times New Roman" w:hAnsi="Times New Roman" w:cs="Times New Roman"/>
        <w:sz w:val="28"/>
        <w:szCs w:val="28"/>
      </w:rPr>
      <w:fldChar w:fldCharType="separate"/>
    </w:r>
    <w:r>
      <w:rPr>
        <w:rStyle w:val="6"/>
        <w:rFonts w:ascii="Times New Roman" w:hAnsi="Times New Roman" w:cs="Times New Roman"/>
        <w:sz w:val="28"/>
        <w:szCs w:val="28"/>
      </w:rPr>
      <w:t>1</w:t>
    </w:r>
    <w:r>
      <w:rPr>
        <w:rStyle w:val="6"/>
        <w:rFonts w:ascii="Times New Roman" w:hAnsi="Times New Roman" w:cs="Times New Roman"/>
        <w:sz w:val="28"/>
        <w:szCs w:val="28"/>
      </w:rPr>
      <w:fldChar w:fldCharType="end"/>
    </w:r>
    <w:r>
      <w:rPr>
        <w:rStyle w:val="6"/>
        <w:rFonts w:ascii="Times New Roman" w:hAnsi="Times New Roman" w:cs="Times New Roman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315" w:leftChars="150" w:right="315" w:rightChars="150"/>
    </w:pPr>
    <w:r>
      <w:rPr>
        <w:rStyle w:val="6"/>
        <w:rFonts w:ascii="Times New Roman" w:hAnsi="Times New Roman" w:cs="Times New Roman"/>
        <w:sz w:val="28"/>
        <w:szCs w:val="28"/>
      </w:rPr>
      <w:t xml:space="preserve">— </w:t>
    </w:r>
    <w:r>
      <w:rPr>
        <w:rStyle w:val="6"/>
        <w:rFonts w:ascii="Times New Roman" w:hAnsi="Times New Roman" w:cs="Times New Roman"/>
        <w:sz w:val="28"/>
        <w:szCs w:val="28"/>
      </w:rPr>
      <w:fldChar w:fldCharType="begin"/>
    </w:r>
    <w:r>
      <w:rPr>
        <w:rStyle w:val="6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6"/>
        <w:rFonts w:ascii="Times New Roman" w:hAnsi="Times New Roman" w:cs="Times New Roman"/>
        <w:sz w:val="28"/>
        <w:szCs w:val="28"/>
      </w:rPr>
      <w:fldChar w:fldCharType="separate"/>
    </w:r>
    <w:r>
      <w:rPr>
        <w:rStyle w:val="6"/>
        <w:sz w:val="28"/>
        <w:szCs w:val="28"/>
      </w:rPr>
      <w:t>2</w:t>
    </w:r>
    <w:r>
      <w:rPr>
        <w:rStyle w:val="6"/>
        <w:rFonts w:ascii="Times New Roman" w:hAnsi="Times New Roman" w:cs="Times New Roman"/>
        <w:sz w:val="28"/>
        <w:szCs w:val="28"/>
      </w:rPr>
      <w:fldChar w:fldCharType="end"/>
    </w:r>
    <w:r>
      <w:rPr>
        <w:rStyle w:val="6"/>
        <w:rFonts w:ascii="Times New Roman" w:hAnsi="Times New Roman" w:cs="Times New Roman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3ZTBjZTAzMGExNTlkOTE5NWMxNzllNjhkN2M4YzcifQ=="/>
  </w:docVars>
  <w:rsids>
    <w:rsidRoot w:val="00D315D4"/>
    <w:rsid w:val="00004BE4"/>
    <w:rsid w:val="002A2E03"/>
    <w:rsid w:val="00382251"/>
    <w:rsid w:val="003C4A60"/>
    <w:rsid w:val="00626039"/>
    <w:rsid w:val="006F3ACA"/>
    <w:rsid w:val="00701492"/>
    <w:rsid w:val="007F07E0"/>
    <w:rsid w:val="00950880"/>
    <w:rsid w:val="00AD3455"/>
    <w:rsid w:val="00C20E32"/>
    <w:rsid w:val="00D315D4"/>
    <w:rsid w:val="00DE4A77"/>
    <w:rsid w:val="00E44B78"/>
    <w:rsid w:val="03166B78"/>
    <w:rsid w:val="05E07AC8"/>
    <w:rsid w:val="1AF776D6"/>
    <w:rsid w:val="20AC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A4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A4模板.dotx</Template>
  <Pages>15</Pages>
  <Words>3333</Words>
  <Characters>3956</Characters>
  <Lines>39</Lines>
  <Paragraphs>11</Paragraphs>
  <TotalTime>1</TotalTime>
  <ScaleCrop>false</ScaleCrop>
  <LinksUpToDate>false</LinksUpToDate>
  <CharactersWithSpaces>3982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2023-08-21T09:21:00Z</dcterms:created>
  <dc:creator>Administrator</dc:creator>
  <cp:lastModifiedBy>PC</cp:lastModifiedBy>
  <dcterms:modified xsi:type="dcterms:W3CDTF">2023-08-22T00:45:46Z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36E09983025646CB8C288468BDC1AC49_13</vt:lpwstr>
  </property>
</Properties>
</file>