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2022年度应急管理和安全生产专项经费项目支出绩效评价报告</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基本情况</w:t>
      </w:r>
    </w:p>
    <w:p>
      <w:pPr>
        <w:keepNext w:val="0"/>
        <w:keepLines w:val="0"/>
        <w:pageBreakBefore w:val="0"/>
        <w:tabs>
          <w:tab w:val="left" w:pos="500"/>
        </w:tabs>
        <w:kinsoku/>
        <w:wordWrap/>
        <w:overflowPunct/>
        <w:topLinePunct w:val="0"/>
        <w:autoSpaceDE/>
        <w:autoSpaceDN/>
        <w:bidi w:val="0"/>
        <w:spacing w:line="576" w:lineRule="exact"/>
        <w:ind w:firstLine="645"/>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（一）项目概况</w:t>
      </w:r>
    </w:p>
    <w:p>
      <w:pPr>
        <w:keepNext w:val="0"/>
        <w:keepLines w:val="0"/>
        <w:pageBreakBefore w:val="0"/>
        <w:kinsoku/>
        <w:wordWrap/>
        <w:overflowPunct/>
        <w:topLinePunct w:val="0"/>
        <w:autoSpaceDE/>
        <w:autoSpaceDN/>
        <w:bidi w:val="0"/>
        <w:spacing w:line="576" w:lineRule="exact"/>
        <w:ind w:firstLine="640" w:firstLineChars="200"/>
        <w:rPr>
          <w:rFonts w:hint="eastAsia" w:ascii="仿宋_GB2312" w:hAnsi="宋体" w:cs="仿宋_GB2312"/>
          <w:kern w:val="16"/>
          <w:sz w:val="32"/>
          <w:szCs w:val="32"/>
          <w:lang w:val="en-US" w:eastAsia="zh-CN"/>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为做好全区应急管理和安全生产综合监管安委会办公室等日常工作，加强安全执法检查、事故调查，设立“应急管理和安全生产专项经费”项目</w:t>
      </w:r>
      <w:r>
        <w:rPr>
          <w:rFonts w:hint="eastAsia" w:ascii="仿宋_GB2312" w:hAnsi="宋体" w:cs="仿宋_GB2312"/>
          <w:kern w:val="16"/>
          <w:sz w:val="32"/>
          <w:szCs w:val="32"/>
          <w:lang w:val="en-US" w:eastAsia="zh-CN"/>
        </w:rPr>
        <w:t>。</w:t>
      </w:r>
    </w:p>
    <w:p>
      <w:pPr>
        <w:keepNext w:val="0"/>
        <w:keepLines w:val="0"/>
        <w:pageBreakBefore w:val="0"/>
        <w:tabs>
          <w:tab w:val="left" w:pos="500"/>
        </w:tabs>
        <w:kinsoku/>
        <w:wordWrap/>
        <w:overflowPunct/>
        <w:topLinePunct w:val="0"/>
        <w:autoSpaceDE/>
        <w:autoSpaceDN/>
        <w:bidi w:val="0"/>
        <w:spacing w:line="576" w:lineRule="exact"/>
        <w:ind w:firstLine="645"/>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（二）项目主要内容</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依法依规指导协调和监督有专门应急管理安全生产主管部门的行业（领域）安全生产监督管理工作；组织协调全区性安全生产检查以及专项督查、专项整治等工作，组织实施安全生产巡查、考核工作；负责组织、监督属地和行业开展冶金、有色、建材、机械、轻工、纺织、烟草、非煤矿山（含地质勘探）、石油（炼化、成品油管道除外）、商贸等工商贸行业安全生产基础工作；承担相关行业安全生产执法工作，依法监督检查相关行业生产经营单位贯彻落实安全生产法律法规和标准情况；指导监督相关行业企业安全生产标准化、安全预防控制体系建设等工作；承担区安全生产委员会办公室的日常工作；负责化工（含石油化工）、医药、危险化学品和烟花爆竹安全生产监督管理工作，依法监督检查相关行业生产经营单位贯彻落实安全生产法律法规和标准情况，承担危险化学品安全监督管理综合工作，组织指导危险化学品登记，指导非药品类易制毒化学品生产经营监督管理工作。</w:t>
      </w:r>
    </w:p>
    <w:p>
      <w:pPr>
        <w:pStyle w:val="2"/>
        <w:keepNext w:val="0"/>
        <w:keepLines w:val="0"/>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color w:val="000000"/>
          <w:kern w:val="2"/>
          <w:sz w:val="32"/>
          <w:szCs w:val="32"/>
          <w:lang w:val="en-US" w:eastAsia="zh-CN" w:bidi="ar-SA"/>
        </w:rPr>
      </w:pPr>
      <w:r>
        <w:rPr>
          <w:rFonts w:hint="eastAsia" w:ascii="仿宋_GB2312" w:hAnsi="仿宋_GB2312" w:eastAsia="仿宋_GB2312" w:cs="仿宋_GB2312"/>
          <w:b/>
          <w:bCs/>
          <w:color w:val="000000"/>
          <w:kern w:val="2"/>
          <w:sz w:val="32"/>
          <w:szCs w:val="32"/>
          <w:lang w:val="en-US" w:eastAsia="zh-CN" w:bidi="ar-SA"/>
        </w:rPr>
        <w:t>项目绩效目标：</w:t>
      </w:r>
    </w:p>
    <w:p>
      <w:pPr>
        <w:pStyle w:val="2"/>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度目标：全面完成安全生产综合监管、执法执纪、行政处罚、安全培训、年度考核、应急管理和安全委员会办公室日常运行等工作任务；阶段性目标为确保扎实完成安全生产工作全过程各阶段具体任务，为年度总目标实现打下坚实基础。</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绩效工作开展情况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b/>
          <w:bCs/>
          <w:color w:val="000000"/>
          <w:kern w:val="2"/>
          <w:sz w:val="32"/>
          <w:szCs w:val="32"/>
          <w:lang w:val="en-US" w:eastAsia="zh-CN" w:bidi="ar-SA"/>
        </w:rPr>
      </w:pPr>
      <w:r>
        <w:rPr>
          <w:rFonts w:hint="default" w:ascii="仿宋_GB2312" w:hAnsi="仿宋_GB2312" w:eastAsia="仿宋_GB2312" w:cs="仿宋_GB2312"/>
          <w:b/>
          <w:bCs/>
          <w:color w:val="000000"/>
          <w:kern w:val="2"/>
          <w:sz w:val="32"/>
          <w:szCs w:val="32"/>
          <w:lang w:val="en-US" w:eastAsia="zh-CN" w:bidi="ar-SA"/>
        </w:rPr>
        <w:t>（一）绩效评价的目的、对象和范围</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通过绩效评价，了解资金使用情况及取得的阶段性成果，总结项目资金管理的经验，及时发现项目资金管理中存在的问题，为规范支出管理，提高专项资金的使用效益，健全和完善项目支出和资金使用，完善预算编制、加强绩效目标管理和绩效考核等工作提供重要的参考依据。</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b/>
          <w:bCs/>
          <w:color w:val="000000"/>
          <w:kern w:val="2"/>
          <w:sz w:val="32"/>
          <w:szCs w:val="32"/>
          <w:lang w:val="en-US" w:eastAsia="zh-CN" w:bidi="ar-SA"/>
        </w:rPr>
      </w:pPr>
      <w:r>
        <w:rPr>
          <w:rFonts w:hint="default" w:ascii="仿宋_GB2312" w:hAnsi="仿宋_GB2312" w:eastAsia="仿宋_GB2312" w:cs="仿宋_GB2312"/>
          <w:b/>
          <w:bCs/>
          <w:color w:val="000000"/>
          <w:kern w:val="2"/>
          <w:sz w:val="32"/>
          <w:szCs w:val="32"/>
          <w:lang w:val="en-US" w:eastAsia="zh-CN" w:bidi="ar-SA"/>
        </w:rPr>
        <w:t>（二）绩效评价原则、评价指标体系、评价方法、评价标准等</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kern w:val="2"/>
          <w:sz w:val="32"/>
          <w:szCs w:val="32"/>
          <w:lang w:val="en-US" w:eastAsia="zh-CN" w:bidi="ar-SA"/>
        </w:rPr>
        <w:t>绩效评价原则：</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（1）科学规范原则：注重项目支出的真实性和有效性，严格执行规定的程序，采用定量与定性分析相结合的方法；（2）公正公开原则：遵循客观、公正的原则，标准统一、资料可靠，依法公开并接受监督</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kern w:val="2"/>
          <w:sz w:val="32"/>
          <w:szCs w:val="32"/>
          <w:lang w:val="en-US" w:eastAsia="zh-CN" w:bidi="ar-SA"/>
        </w:rPr>
        <w:t>评价指标体系：</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本项目评价指标体系依据六安市财政局制定的《绩效评价指标体系框架》确定,分为四大部分，即投入和管理、产出、效益和满意度四个方面对评价指标体系进行逐步分解，评价采取百分制的计分方式。根据项目支出的实际情况，针对项目特点及各指标难度、类别考评内容，并参考了评价小组及被评价单位的意见，最终确定各个指标相对于总体绩效的权重分值投入和管理权重值为10%，产出权重值为50%，效益权重值为30%，满意度权重值为10%。</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投入和管理标准分10分，该部分反映项目实施单位的项目立项规范性、资金落实等情况；产出标准分50分，该部分反映项目实施单位的实际完成、质量达标情况；效益标准分30分，该部分反映项目社会效益情况；满意度标准分10分，该部分反映项目服务对象满意度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评分方法：项目绩效评价结果分4个等级，90-100分为优秀、80-89分为良好、60-79分为一般、60分以下为差。</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评价标准：计划标准、历史标准、其他标准。</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评价方法：（1）撰写项目支出绩效自评报告；（2）组织绩效评价工作组在评价单位绩效自评报告的基础上，对照评价指标和计分标准进行评价，对项目支出的实施情况进行核查，核实相关信息并量化评分，形成项目支出绩效评价表和绩效评价报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b/>
          <w:bCs/>
          <w:color w:val="000000"/>
          <w:kern w:val="2"/>
          <w:sz w:val="32"/>
          <w:szCs w:val="32"/>
          <w:lang w:val="en-US" w:eastAsia="zh-CN" w:bidi="ar-SA"/>
        </w:rPr>
      </w:pPr>
      <w:r>
        <w:rPr>
          <w:rFonts w:hint="default" w:ascii="仿宋_GB2312" w:hAnsi="仿宋_GB2312" w:eastAsia="仿宋_GB2312" w:cs="仿宋_GB2312"/>
          <w:b/>
          <w:bCs/>
          <w:color w:val="000000"/>
          <w:kern w:val="2"/>
          <w:sz w:val="32"/>
          <w:szCs w:val="32"/>
          <w:lang w:val="en-US" w:eastAsia="zh-CN" w:bidi="ar-SA"/>
        </w:rPr>
        <w:t>（三）绩效评价工作过程</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我局根据安全生产法、安全生产条例等法律法规，结合我区</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应急管理及</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安全生产工作的实际情况，对202</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年度</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应急管理和</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安全生产监管工作作了统筹安排，并负责组织项目立项的审核、讨论，组织编制项目预算及组织实施预算、批复年度项目设计并组织实施、汇总编报项目支出用款计划、监督检查项目执行情况。</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综合评价情况及评价结论</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年度预算执行结束后，我局按照相关规定开展本单位项目支出的绩效自评，并根据年初申报预算时同步填报的项目绩效目标全面分析问题，提出建议。202</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年度急管理和安全生产专项经费年初预算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为140.89万元</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，截至年底，共执行</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72.93万</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元。依据自评标准，自评分为</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95.09</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绩效评价指标分析</w:t>
      </w:r>
    </w:p>
    <w:p>
      <w:pPr>
        <w:keepNext w:val="0"/>
        <w:keepLines w:val="0"/>
        <w:pageBreakBefore w:val="0"/>
        <w:tabs>
          <w:tab w:val="left" w:pos="500"/>
        </w:tabs>
        <w:kinsoku/>
        <w:wordWrap/>
        <w:overflowPunct/>
        <w:topLinePunct w:val="0"/>
        <w:autoSpaceDE/>
        <w:autoSpaceDN/>
        <w:bidi w:val="0"/>
        <w:spacing w:line="576" w:lineRule="exact"/>
        <w:ind w:firstLine="645"/>
        <w:rPr>
          <w:rFonts w:hint="default" w:ascii="仿宋_GB2312" w:hAnsi="仿宋_GB2312" w:eastAsia="仿宋_GB2312" w:cs="仿宋_GB2312"/>
          <w:b/>
          <w:bCs/>
          <w:color w:val="000000"/>
          <w:sz w:val="32"/>
          <w:szCs w:val="32"/>
          <w:lang w:val="en-US" w:eastAsia="zh-CN"/>
        </w:rPr>
      </w:pPr>
      <w:r>
        <w:rPr>
          <w:rFonts w:hint="default" w:ascii="仿宋_GB2312" w:hAnsi="仿宋_GB2312" w:eastAsia="仿宋_GB2312" w:cs="仿宋_GB2312"/>
          <w:b/>
          <w:bCs/>
          <w:color w:val="000000"/>
          <w:sz w:val="32"/>
          <w:szCs w:val="32"/>
          <w:lang w:val="en-US" w:eastAsia="zh-CN"/>
        </w:rPr>
        <w:t>（一）评价结论</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绩效评价综合得分95.</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09</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分，评价等级为优秀。本项目符合国家产业政策，项目管理有效，社会效益明显，项目建设能够形成可持续的影响。</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29"/>
        <w:gridCol w:w="1602"/>
        <w:gridCol w:w="1633"/>
        <w:gridCol w:w="1725"/>
        <w:gridCol w:w="1122"/>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94" w:hRule="atLeast"/>
        </w:trPr>
        <w:tc>
          <w:tcPr>
            <w:tcW w:w="1429" w:type="dxa"/>
          </w:tcPr>
          <w:p>
            <w:pPr>
              <w:pStyle w:val="2"/>
              <w:keepNext w:val="0"/>
              <w:keepLines w:val="0"/>
              <w:pageBreakBefore w:val="0"/>
              <w:widowControl w:val="0"/>
              <w:kinsoku/>
              <w:wordWrap/>
              <w:overflowPunct/>
              <w:topLinePunct w:val="0"/>
              <w:autoSpaceDE/>
              <w:autoSpaceDN/>
              <w:bidi w:val="0"/>
              <w:adjustRightInd/>
              <w:snapToGrid/>
              <w:textAlignment w:val="auto"/>
              <w:rPr>
                <w:rFonts w:hint="default" w:ascii="黑体" w:hAnsi="黑体" w:eastAsia="黑体" w:cs="黑体"/>
                <w:spacing w:val="240"/>
                <w:kern w:val="0"/>
                <w:sz w:val="24"/>
                <w:szCs w:val="24"/>
                <w:fitText w:val="960" w:id="750782874"/>
                <w:lang w:val="en-US" w:eastAsia="zh-CN" w:bidi="ar-SA"/>
              </w:rPr>
            </w:pPr>
            <w:r>
              <w:rPr>
                <w:rFonts w:hint="default" w:ascii="黑体" w:hAnsi="黑体" w:eastAsia="黑体" w:cs="黑体"/>
                <w:spacing w:val="240"/>
                <w:kern w:val="0"/>
                <w:sz w:val="24"/>
                <w:szCs w:val="24"/>
                <w:fitText w:val="960" w:id="750782874"/>
                <w:lang w:val="en-US" w:eastAsia="zh-CN" w:bidi="ar-SA"/>
              </w:rPr>
              <w:t>指标</w:t>
            </w:r>
          </w:p>
        </w:tc>
        <w:tc>
          <w:tcPr>
            <w:tcW w:w="1602" w:type="dxa"/>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spacing w:val="240"/>
                <w:kern w:val="0"/>
                <w:sz w:val="24"/>
                <w:szCs w:val="24"/>
                <w:fitText w:val="960" w:id="750782874"/>
                <w:lang w:val="en-US" w:eastAsia="zh-CN" w:bidi="ar-SA"/>
              </w:rPr>
            </w:pPr>
            <w:r>
              <w:rPr>
                <w:rFonts w:hint="default" w:ascii="黑体" w:hAnsi="黑体" w:eastAsia="黑体" w:cs="黑体"/>
                <w:kern w:val="0"/>
                <w:sz w:val="24"/>
                <w:szCs w:val="24"/>
                <w:lang w:val="en-US" w:eastAsia="zh-CN" w:bidi="ar-SA"/>
              </w:rPr>
              <w:t>投入和管理</w:t>
            </w:r>
          </w:p>
        </w:tc>
        <w:tc>
          <w:tcPr>
            <w:tcW w:w="1633" w:type="dxa"/>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kern w:val="0"/>
                <w:sz w:val="24"/>
                <w:szCs w:val="24"/>
                <w:lang w:val="en-US" w:eastAsia="zh-CN" w:bidi="ar-SA"/>
              </w:rPr>
            </w:pPr>
            <w:r>
              <w:rPr>
                <w:rFonts w:hint="default" w:ascii="黑体" w:hAnsi="黑体" w:eastAsia="黑体" w:cs="黑体"/>
                <w:kern w:val="0"/>
                <w:sz w:val="24"/>
                <w:szCs w:val="24"/>
                <w:lang w:val="en-US" w:eastAsia="zh-CN" w:bidi="ar-SA"/>
              </w:rPr>
              <w:t>产出</w:t>
            </w:r>
          </w:p>
        </w:tc>
        <w:tc>
          <w:tcPr>
            <w:tcW w:w="1725" w:type="dxa"/>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kern w:val="0"/>
                <w:sz w:val="24"/>
                <w:szCs w:val="24"/>
                <w:lang w:val="en-US" w:eastAsia="zh-CN" w:bidi="ar-SA"/>
              </w:rPr>
            </w:pPr>
            <w:r>
              <w:rPr>
                <w:rFonts w:hint="default" w:ascii="黑体" w:hAnsi="黑体" w:eastAsia="黑体" w:cs="黑体"/>
                <w:kern w:val="0"/>
                <w:sz w:val="24"/>
                <w:szCs w:val="24"/>
                <w:lang w:val="en-US" w:eastAsia="zh-CN" w:bidi="ar-SA"/>
              </w:rPr>
              <w:t>效益</w:t>
            </w:r>
          </w:p>
        </w:tc>
        <w:tc>
          <w:tcPr>
            <w:tcW w:w="1122" w:type="dxa"/>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kern w:val="0"/>
                <w:sz w:val="24"/>
                <w:szCs w:val="24"/>
                <w:lang w:val="en-US" w:eastAsia="zh-CN" w:bidi="ar-SA"/>
              </w:rPr>
            </w:pPr>
            <w:r>
              <w:rPr>
                <w:rFonts w:hint="default" w:ascii="黑体" w:hAnsi="黑体" w:eastAsia="黑体" w:cs="黑体"/>
                <w:kern w:val="0"/>
                <w:sz w:val="24"/>
                <w:szCs w:val="24"/>
                <w:lang w:val="en-US" w:eastAsia="zh-CN" w:bidi="ar-SA"/>
              </w:rPr>
              <w:t>满意度</w:t>
            </w:r>
          </w:p>
        </w:tc>
        <w:tc>
          <w:tcPr>
            <w:tcW w:w="1011" w:type="dxa"/>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kern w:val="0"/>
                <w:sz w:val="24"/>
                <w:szCs w:val="24"/>
                <w:lang w:val="en-US" w:eastAsia="zh-CN" w:bidi="ar-SA"/>
              </w:rPr>
            </w:pPr>
            <w:r>
              <w:rPr>
                <w:rFonts w:hint="default" w:ascii="黑体" w:hAnsi="黑体" w:eastAsia="黑体" w:cs="黑体"/>
                <w:kern w:val="0"/>
                <w:sz w:val="24"/>
                <w:szCs w:val="24"/>
                <w:lang w:val="en-US" w:eastAsia="zh-CN" w:bidi="ar-S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spacing w:val="240"/>
                <w:kern w:val="0"/>
                <w:sz w:val="24"/>
                <w:szCs w:val="24"/>
                <w:fitText w:val="960" w:id="1314792716"/>
                <w:lang w:val="en-US" w:eastAsia="zh-CN" w:bidi="ar-SA"/>
              </w:rPr>
            </w:pPr>
            <w:r>
              <w:rPr>
                <w:rFonts w:hint="default" w:ascii="黑体" w:hAnsi="黑体" w:eastAsia="黑体" w:cs="黑体"/>
                <w:spacing w:val="240"/>
                <w:kern w:val="0"/>
                <w:sz w:val="24"/>
                <w:szCs w:val="24"/>
                <w:fitText w:val="960" w:id="1314792716"/>
                <w:lang w:val="en-US" w:eastAsia="zh-CN" w:bidi="ar-SA"/>
              </w:rPr>
              <w:t>分值</w:t>
            </w:r>
          </w:p>
        </w:tc>
        <w:tc>
          <w:tcPr>
            <w:tcW w:w="1602"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10</w:t>
            </w:r>
          </w:p>
        </w:tc>
        <w:tc>
          <w:tcPr>
            <w:tcW w:w="1633"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50</w:t>
            </w:r>
          </w:p>
        </w:tc>
        <w:tc>
          <w:tcPr>
            <w:tcW w:w="1725"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30</w:t>
            </w:r>
          </w:p>
        </w:tc>
        <w:tc>
          <w:tcPr>
            <w:tcW w:w="1122"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10</w:t>
            </w:r>
          </w:p>
        </w:tc>
        <w:tc>
          <w:tcPr>
            <w:tcW w:w="1011"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9" w:type="dxa"/>
            <w:vAlign w:val="center"/>
          </w:tcPr>
          <w:p>
            <w:pPr>
              <w:pStyle w:val="2"/>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spacing w:val="240"/>
                <w:kern w:val="0"/>
                <w:sz w:val="24"/>
                <w:szCs w:val="24"/>
                <w:fitText w:val="960" w:id="1314792716"/>
                <w:lang w:val="en-US" w:eastAsia="zh-CN" w:bidi="ar-SA"/>
              </w:rPr>
            </w:pPr>
            <w:r>
              <w:rPr>
                <w:rFonts w:hint="default" w:ascii="黑体" w:hAnsi="黑体" w:eastAsia="黑体" w:cs="黑体"/>
                <w:spacing w:val="240"/>
                <w:kern w:val="0"/>
                <w:sz w:val="24"/>
                <w:szCs w:val="24"/>
                <w:fitText w:val="960" w:id="1314792716"/>
                <w:lang w:val="en-US" w:eastAsia="zh-CN" w:bidi="ar-SA"/>
              </w:rPr>
              <w:t>得分</w:t>
            </w:r>
          </w:p>
        </w:tc>
        <w:tc>
          <w:tcPr>
            <w:tcW w:w="1602"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5.18</w:t>
            </w:r>
          </w:p>
        </w:tc>
        <w:tc>
          <w:tcPr>
            <w:tcW w:w="1633"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49.91</w:t>
            </w:r>
          </w:p>
        </w:tc>
        <w:tc>
          <w:tcPr>
            <w:tcW w:w="1725"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30</w:t>
            </w:r>
          </w:p>
        </w:tc>
        <w:tc>
          <w:tcPr>
            <w:tcW w:w="1122"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10</w:t>
            </w:r>
          </w:p>
        </w:tc>
        <w:tc>
          <w:tcPr>
            <w:tcW w:w="1011" w:type="dxa"/>
          </w:tcPr>
          <w:p>
            <w:pPr>
              <w:keepNext w:val="0"/>
              <w:keepLines w:val="0"/>
              <w:pageBreakBefore w:val="0"/>
              <w:widowControl/>
              <w:kinsoku/>
              <w:wordWrap/>
              <w:overflowPunct/>
              <w:topLinePunct w:val="0"/>
              <w:autoSpaceDE/>
              <w:autoSpaceDN/>
              <w:bidi w:val="0"/>
              <w:adjustRightInd/>
              <w:spacing w:before="240" w:after="240" w:line="576" w:lineRule="exact"/>
              <w:jc w:val="center"/>
              <w:textAlignment w:val="auto"/>
              <w:rPr>
                <w:rFonts w:hint="default" w:ascii="仿宋" w:hAnsi="仿宋" w:eastAsia="仿宋" w:cs="Arial"/>
                <w:kern w:val="0"/>
                <w:sz w:val="24"/>
                <w:szCs w:val="24"/>
                <w:lang w:val="en-US" w:eastAsia="zh-CN"/>
              </w:rPr>
            </w:pPr>
            <w:r>
              <w:rPr>
                <w:rFonts w:hint="eastAsia" w:ascii="仿宋" w:hAnsi="仿宋" w:eastAsia="仿宋" w:cs="Arial"/>
                <w:kern w:val="0"/>
                <w:sz w:val="24"/>
                <w:szCs w:val="24"/>
                <w:lang w:val="en-US" w:eastAsia="zh-CN"/>
              </w:rPr>
              <w:t>95.09</w:t>
            </w:r>
          </w:p>
        </w:tc>
      </w:tr>
    </w:tbl>
    <w:p>
      <w:pPr>
        <w:keepNext w:val="0"/>
        <w:keepLines w:val="0"/>
        <w:pageBreakBefore w:val="0"/>
        <w:tabs>
          <w:tab w:val="left" w:pos="500"/>
        </w:tabs>
        <w:kinsoku/>
        <w:wordWrap/>
        <w:overflowPunct/>
        <w:topLinePunct w:val="0"/>
        <w:autoSpaceDE/>
        <w:autoSpaceDN/>
        <w:bidi w:val="0"/>
        <w:spacing w:line="576" w:lineRule="exact"/>
        <w:ind w:firstLine="645"/>
        <w:rPr>
          <w:rFonts w:hint="default" w:ascii="仿宋_GB2312" w:hAnsi="仿宋_GB2312" w:eastAsia="仿宋_GB2312" w:cs="仿宋_GB2312"/>
          <w:b/>
          <w:bCs/>
          <w:color w:val="000000"/>
          <w:sz w:val="32"/>
          <w:szCs w:val="32"/>
          <w:lang w:val="en-US" w:eastAsia="zh-CN"/>
        </w:rPr>
      </w:pPr>
      <w:r>
        <w:rPr>
          <w:rFonts w:hint="default" w:ascii="仿宋_GB2312" w:hAnsi="仿宋_GB2312" w:eastAsia="仿宋_GB2312" w:cs="仿宋_GB2312"/>
          <w:b/>
          <w:bCs/>
          <w:color w:val="000000"/>
          <w:sz w:val="32"/>
          <w:szCs w:val="32"/>
          <w:lang w:val="en-US" w:eastAsia="zh-CN"/>
        </w:rPr>
        <w:t>（二）评价分析</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1．投入和管理指标。分值10分，得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5.18</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（1）预算执行率，分值4分，得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2.07</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预算执行率=年度使用总额÷实际发放预算金额。</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72.93万</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元÷</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140.89万</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元*100%=</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51.77</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得分：4分×</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51.77</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2.07</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（2）资金到位率，分值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资金到位率=实际到位预算资金÷计划投入资金</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资金年度指标计划全部到位，资金到位率100%。</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（3）项目管理制度健全性、执行有效性，分值1分，得0.</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5</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项目制度执行有效性方面，基本完成。</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（4）财务制度健全性、监控的有效性，分值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3</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0.61</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本单位财务管理制度按照区财政局相关财务制度要求，其他相关财务资料不完善。</w:t>
      </w:r>
      <w:bookmarkStart w:id="0" w:name="_GoBack"/>
      <w:bookmarkEnd w:id="0"/>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（5）资金使用合规性，分值1分，得1分。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项目实际支出与项目计划投入资金用途相符，符合《中华人民共和国会计法》和《行政单位会计制度》的规定，资金拨付审批程序和手续完整，符合项目预算批复规定的用途，做到了资金专款专用。</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2．产出指标。分值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50</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分，得分</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49.91</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（1）数量指标，分值1</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4</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13.91</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日常办公正常运转。202</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年度，每季度召开安委会，共召开4次，</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举办宣传活动3次，安全生产隐患排查企业数262家，安全生产教育培训及应急救援队伍培训人数达191人，灾害信息员补贴发放人数77人，</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达到上级要求。</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（2）质量指标，分值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15</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15</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202</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年，对工贸八大行业、危险化学品、烟花爆竹等91家企业开展执法检查，下达现场检查记录91份，责令整改指令书81份，累计发现隐患数510条，立案5起，下达行政处罚决定书5份，处罚金额8万元，目前均执行到位、结案闭环。对一家企业下达停业整改指令书。委托乡镇街行政处罚4起，处罚金额3万元。加强安全生产信用管理体系建设，今年累计录入信用企业名单9家，完成信用修复6家。加强对工贸企业使用危化品、废水、废气管理的指导服务，压实工贸企业安全生产主体责任。安全生产隐患排查工作完成度</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达100%。对全区安全生产管理人员、安全员进行培训，本年已完成，该任务的绩效目标是进一步加强相关企业安全生产相关人员的安全生产意识，确保企业安全生产工作顺利开展，保障我区安全生产工作平稳、有序。安全生产教育培训完成度100%。资金拨付审批程序和手续完整，符合项目预算批复规定的用途，做到了资金专款专用，经费支出合规性达到预期指标。</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（3）时效指标，分值15分，得15分。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①防汛抗旱值班</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值班人员在岗在位顺利度过防汛抗旱时期，防汛抗旱值班情况达到预期标准。</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分值5分，得5分。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②项目完成及时性</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项目完成按序时进度开展</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ab/>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达成预期指标</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。分值5分，得5分。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③经费</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支出时效性</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项目经费</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按序时进度开展</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达成预期指标</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。分值5分，得5分。</w:t>
      </w:r>
    </w:p>
    <w:p>
      <w:pPr>
        <w:pStyle w:val="2"/>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成本指标，分值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6</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6</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对全区安全生产管理人员、安全员进行培训，2022年度支付20万元。安全生产监管成本2022年度支付21</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8</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7万元。为节约开支，未通过招标形式承包给第三方，由我局自行开展安全生产隐患排查，必要时刻邀请专家开展共支付1.01万元。</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ab/>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3．效益指标。分值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20</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20</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（1）社会效益指标，企业安全事故损失度</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大幅降低，</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保障人民群众生命和财产安全，成效明显。分值10分，得10分。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（2）社会效益指标，增强社会公众安全和应急能力水平提升、各项安全事故下降</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，成效明显。</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分值</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10</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分，得10分。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3</w:t>
      </w: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）生态效益指标</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，有效减少灾害发生概率，提升群众生活环境的影响程度，效果逐步提升。分值5分，得5分。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（4）可持续影响指标，健全应急管理长效机制。达到预期目标。分值5分，得5分。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4.满意度指标。分值10分，得10分。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社会公众满意度，满意率≥90%。分值10分，得10分。</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主要经验及做法</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2022年，区应急局坚持人民至上、生命至上，在区委、区政府的坚强领导下，聚焦问题、研判风险，及时采取行动，统筹推进安全生产、防灾减灾救灾、防汛抗旱、森林防灭火等各项主责主业。</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1．深化安全监管，强化责任落实。一是压紧压实监管责任。召开4次区安委会会议，安排部署安全生产重点工作。充分发挥安委办综合协调职能，联合区直有关单位，狠抓国务院安委会提出的安全生产“十五条措施”落实。持续开展安全生产督导检查和明查暗访，并形成长效工作机制，进一步推进属地管理责任、行业监管责任和企业主体责任落实。二是持续推进“1+9+N”安全生产专项整治三年行动。不断加大对交通运输、特种设备、建筑施工、管道燃气等重点领域监管力度，坚决遏制较大安全事故发生。持续推进直管行业领域专项整治，开展危险化学品专项检查，检查加油站11家，迎接二轮重大危险源消地互查，开展危险化学品项目安全设计诊断专项检查，累计发现隐患问题51条，现已全部整改完成。对76家工贸企业开展执法检查,发现隐患489条,行政处罚5万元。查处非法经营烟花爆竹24家，查扣爆竹3295挂、烟花2269箱，行政处罚6万元。截至目前，我区发生生产安全事故1起，死亡1人，比去年同期减少1起1人，未发生较大及以上事故。实现“坚决遏制重特大事故，有效防范重大事故，事故起数和死亡人数双下降”的工作目标。三是扎实开展重点行业领域专项整治。印发《关于立即开展城乡自建房安全隐患排查的紧急通知》《六安市叶集区城镇燃气安全排查整治实施方案》《关于开展全区安全生产大检查工作的通知》《关于开展国庆节前安全生产检查工作的通知》等文件，明确任务，细化分工，在重要节点召开安全生产每日会商会，推进各类专项整治工作落到实处。</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2．推进依法行政，提升执法质量。一是完成应急管理综合行政执法大队机构改革。增加编制1名，整合应急管理行政执法职能，本年度新增应急管理执法人员6名，持续壮大应急管理执法队伍。二是持续推进“执法+服务”。对工贸八大行业、危险化学品、烟花爆竹等91家企业开展执法检查，下达现场检查记录91份，责令整改指令书81份，累计发现隐患数510条，立案5起，下达行政处罚决定书5份，处罚金额8万元，目前均执行到位、结案闭环。对一家企业下达停业整改指令书。委托乡镇街行政处罚4起，处罚金额3万元。加强安全生产信用管理体系建设，今年累计录入信用企业名单9家，完成信用修复6家。加强对工贸企业使用危化品、废水、废气管理的指导服务，压实工贸企业安全生产主体责任。三是大力提升执法质量。推进应急管理信息化建设，加强应急管理信息化平台管控。根据年初印发安全生产执法监察计划，将我区28家企业（含烟花爆竹零售店）纳入执法计划，已全部完成执法检查。组织乡镇街开展行政执法案卷互查互评，累计完成2021年度执法案卷整理和归档共20份，切实提升执法质量。</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3．完善应急体系，提升指挥水平。一是不断健全应急管理体系。及时调整区防汛抗旱指挥部、减灾救灾委员会、森林草原防灭火指挥部、抗震救灾指挥部。谋划推动综合救援队伍建设，规范社会救援队伍管理和扶持，逐步完善覆盖区、乡镇、村三级综合应急救援和全区域社会应急救援双重力量体系架构。区、乡、村三级自然灾害情况统计和上报体系建成使用。开展化工园区危险化学品生产安全事故应急演练、森林防灭火应急演练、地震应急演练和危险区域群众转移安置、水上救援实地演练和防汛防台桌面推演，切实提升了突发事件应急响应和处置能力。二是全力应对持续旱情。及时启动抗旱Ⅳ级应急响应，派出两个抗旱工作督导组指导受旱区域开展抗旱保苗，协调跨区域抗旱供水矛盾。由区水利、农业部门组建9个抗旱工作指导组，分赴6个乡镇街，提出应对措施，指导乡村和广大农户特别是种植大户积极做好抗旱保收工作。会同区财政、水利、农业农村等部门连夜商讨布置抗旱打井，紧急预拨220万做为启动资金。投入10万元对平岗电灌站部分机电设备和出水管道进行维修，充分发挥老电灌站的抗旱作用。通过采取蓄、引、提、调等措施，努力扩大浇灌面积，最大程度地减轻了粮食作物因旱灾造成的损失。三是扎实推进森林防灭火工作。印发森林防火禁火令200余份，通过“叶集发布”抖音号发布本区禁火警示教育视频1期，对2名违反禁火令规定人员给予处罚。联合区林业中心和区委督查办开展森林防火专项督查检查1次，印发督查快报1份。组织开展年度森林防灭火应急演练1次，出动参演人员50余人，组织森林防灭火业务专题培训会1次，参训人员90余人，有效提升了扑火队员理论和实战能力。</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存在问题</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项目管理制度健全性、执行有效性方面，内部控制制度稍有欠缺，需要进一步完善并按照制度执行。</w:t>
      </w: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项目资金未使用完毕。</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有关建议</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eastAsia" w:ascii="Times New Roman" w:hAnsi="Times New Roman" w:eastAsia="仿宋_GB2312" w:cs="仿宋_GB2312"/>
          <w:color w:val="000000" w:themeColor="text1"/>
          <w:kern w:val="16"/>
          <w:sz w:val="32"/>
          <w:szCs w:val="32"/>
          <w:lang w:val="en-US" w:eastAsia="zh-CN" w:bidi="ar-SA"/>
          <w14:textFill>
            <w14:solidFill>
              <w14:schemeClr w14:val="tx1"/>
            </w14:solidFill>
          </w14:textFill>
        </w:rPr>
        <w:t>合理编制预算，提高预算编制准确性，对项目资金的使用进行严格详细的规划，避免资金出现较大偏差。</w:t>
      </w: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0"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其他需要说明的问题</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pPr>
      <w:r>
        <w:rPr>
          <w:rFonts w:hint="default" w:ascii="Times New Roman" w:hAnsi="Times New Roman" w:eastAsia="仿宋_GB2312" w:cs="仿宋_GB2312"/>
          <w:color w:val="000000" w:themeColor="text1"/>
          <w:kern w:val="16"/>
          <w:sz w:val="32"/>
          <w:szCs w:val="32"/>
          <w:lang w:val="en-US" w:eastAsia="zh-CN" w:bidi="ar-SA"/>
          <w14:textFill>
            <w14:solidFill>
              <w14:schemeClr w14:val="tx1"/>
            </w14:solidFill>
          </w14:textFill>
        </w:rPr>
        <w:t>无其他需要说明的问题。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4E366"/>
    <w:multiLevelType w:val="singleLevel"/>
    <w:tmpl w:val="E1A4E366"/>
    <w:lvl w:ilvl="0" w:tentative="0">
      <w:start w:val="3"/>
      <w:numFmt w:val="chineseCounting"/>
      <w:suff w:val="nothing"/>
      <w:lvlText w:val="（%1）"/>
      <w:lvlJc w:val="left"/>
      <w:rPr>
        <w:rFonts w:hint="eastAsia"/>
      </w:rPr>
    </w:lvl>
  </w:abstractNum>
  <w:abstractNum w:abstractNumId="1">
    <w:nsid w:val="E522D427"/>
    <w:multiLevelType w:val="singleLevel"/>
    <w:tmpl w:val="E522D427"/>
    <w:lvl w:ilvl="0" w:tentative="0">
      <w:start w:val="1"/>
      <w:numFmt w:val="chineseCounting"/>
      <w:suff w:val="nothing"/>
      <w:lvlText w:val="%1、"/>
      <w:lvlJc w:val="left"/>
      <w:rPr>
        <w:rFonts w:hint="eastAsia"/>
      </w:rPr>
    </w:lvl>
  </w:abstractNum>
  <w:abstractNum w:abstractNumId="2">
    <w:nsid w:val="6ED88907"/>
    <w:multiLevelType w:val="singleLevel"/>
    <w:tmpl w:val="6ED88907"/>
    <w:lvl w:ilvl="0" w:tentative="0">
      <w:start w:val="4"/>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NjFkZTNlNThiMzQzNjIzMDhkODBlMTlhZjY2OTkifQ=="/>
  </w:docVars>
  <w:rsids>
    <w:rsidRoot w:val="00000000"/>
    <w:rsid w:val="01F16659"/>
    <w:rsid w:val="02BE1E79"/>
    <w:rsid w:val="040457CD"/>
    <w:rsid w:val="04C904B8"/>
    <w:rsid w:val="04F27A0F"/>
    <w:rsid w:val="04F574FF"/>
    <w:rsid w:val="05B253F0"/>
    <w:rsid w:val="05DE7F94"/>
    <w:rsid w:val="05FB23AD"/>
    <w:rsid w:val="063B6F36"/>
    <w:rsid w:val="06C25773"/>
    <w:rsid w:val="08242C5A"/>
    <w:rsid w:val="093C56FD"/>
    <w:rsid w:val="09C840CD"/>
    <w:rsid w:val="09D05E45"/>
    <w:rsid w:val="0A420EE2"/>
    <w:rsid w:val="0AA74DF8"/>
    <w:rsid w:val="0B09160F"/>
    <w:rsid w:val="0B4462BF"/>
    <w:rsid w:val="0C2369E8"/>
    <w:rsid w:val="0C873133"/>
    <w:rsid w:val="0CBE05D7"/>
    <w:rsid w:val="0D6A4525"/>
    <w:rsid w:val="0D8D4779"/>
    <w:rsid w:val="0EAF4BC3"/>
    <w:rsid w:val="10411D51"/>
    <w:rsid w:val="10600A7C"/>
    <w:rsid w:val="10A138B2"/>
    <w:rsid w:val="11450133"/>
    <w:rsid w:val="11951E4E"/>
    <w:rsid w:val="11E4111F"/>
    <w:rsid w:val="11E701D0"/>
    <w:rsid w:val="128E0BDC"/>
    <w:rsid w:val="130D010A"/>
    <w:rsid w:val="134D0507"/>
    <w:rsid w:val="136A10B9"/>
    <w:rsid w:val="14123EF8"/>
    <w:rsid w:val="1457788F"/>
    <w:rsid w:val="1466283C"/>
    <w:rsid w:val="148F1D73"/>
    <w:rsid w:val="1606331B"/>
    <w:rsid w:val="16DA51FF"/>
    <w:rsid w:val="17544DF1"/>
    <w:rsid w:val="195B397D"/>
    <w:rsid w:val="1B334490"/>
    <w:rsid w:val="1C014933"/>
    <w:rsid w:val="1C1D316C"/>
    <w:rsid w:val="1D1207F7"/>
    <w:rsid w:val="1F657087"/>
    <w:rsid w:val="1FE8583F"/>
    <w:rsid w:val="20226633"/>
    <w:rsid w:val="228A7081"/>
    <w:rsid w:val="23305775"/>
    <w:rsid w:val="23FE2D95"/>
    <w:rsid w:val="23FF13A9"/>
    <w:rsid w:val="2433178F"/>
    <w:rsid w:val="2443398C"/>
    <w:rsid w:val="244A6AC8"/>
    <w:rsid w:val="258778A8"/>
    <w:rsid w:val="25F8736A"/>
    <w:rsid w:val="265B7D18"/>
    <w:rsid w:val="26953020"/>
    <w:rsid w:val="27A91D58"/>
    <w:rsid w:val="28500425"/>
    <w:rsid w:val="28903F25"/>
    <w:rsid w:val="2B417FCF"/>
    <w:rsid w:val="2DDA0E76"/>
    <w:rsid w:val="2E24482E"/>
    <w:rsid w:val="2F634EE2"/>
    <w:rsid w:val="2F731C9F"/>
    <w:rsid w:val="319E4FAE"/>
    <w:rsid w:val="320F6EDE"/>
    <w:rsid w:val="334B6D3F"/>
    <w:rsid w:val="33694A91"/>
    <w:rsid w:val="35011425"/>
    <w:rsid w:val="36BE6EA2"/>
    <w:rsid w:val="37054FE1"/>
    <w:rsid w:val="383330A6"/>
    <w:rsid w:val="3914290C"/>
    <w:rsid w:val="39EB0737"/>
    <w:rsid w:val="3B2D45F6"/>
    <w:rsid w:val="3BDC29A3"/>
    <w:rsid w:val="3C035D55"/>
    <w:rsid w:val="3C1E0B0E"/>
    <w:rsid w:val="3DDD2303"/>
    <w:rsid w:val="3E1A70B4"/>
    <w:rsid w:val="3F7647BE"/>
    <w:rsid w:val="401F6C03"/>
    <w:rsid w:val="40FB13E8"/>
    <w:rsid w:val="41A73AA2"/>
    <w:rsid w:val="41B8730F"/>
    <w:rsid w:val="41C9011E"/>
    <w:rsid w:val="423F533B"/>
    <w:rsid w:val="42411E51"/>
    <w:rsid w:val="42573FA6"/>
    <w:rsid w:val="432C3699"/>
    <w:rsid w:val="43727691"/>
    <w:rsid w:val="447A4B1D"/>
    <w:rsid w:val="45D049C6"/>
    <w:rsid w:val="46111D05"/>
    <w:rsid w:val="46576971"/>
    <w:rsid w:val="46B65524"/>
    <w:rsid w:val="47D46AAB"/>
    <w:rsid w:val="494E0559"/>
    <w:rsid w:val="49F917D2"/>
    <w:rsid w:val="4A443E36"/>
    <w:rsid w:val="4AFF5F31"/>
    <w:rsid w:val="4EEA2AD2"/>
    <w:rsid w:val="4F5F3752"/>
    <w:rsid w:val="4F667C57"/>
    <w:rsid w:val="4FF77255"/>
    <w:rsid w:val="50061B91"/>
    <w:rsid w:val="505B640B"/>
    <w:rsid w:val="50B04E43"/>
    <w:rsid w:val="514501A0"/>
    <w:rsid w:val="51873B9B"/>
    <w:rsid w:val="54613836"/>
    <w:rsid w:val="54EA382C"/>
    <w:rsid w:val="56160209"/>
    <w:rsid w:val="57744544"/>
    <w:rsid w:val="57FA140D"/>
    <w:rsid w:val="582232DD"/>
    <w:rsid w:val="58647A49"/>
    <w:rsid w:val="592866D1"/>
    <w:rsid w:val="597B0EF6"/>
    <w:rsid w:val="5A1F5D26"/>
    <w:rsid w:val="5A3643E4"/>
    <w:rsid w:val="5ABA77FD"/>
    <w:rsid w:val="5ABB5323"/>
    <w:rsid w:val="5B913DE5"/>
    <w:rsid w:val="5C2205EB"/>
    <w:rsid w:val="5C886A0D"/>
    <w:rsid w:val="5CB63FF4"/>
    <w:rsid w:val="5D3318C7"/>
    <w:rsid w:val="5E626F30"/>
    <w:rsid w:val="5F155949"/>
    <w:rsid w:val="5F322057"/>
    <w:rsid w:val="5FD96977"/>
    <w:rsid w:val="61F555BE"/>
    <w:rsid w:val="64542A9B"/>
    <w:rsid w:val="64A55079"/>
    <w:rsid w:val="655973C3"/>
    <w:rsid w:val="6569254B"/>
    <w:rsid w:val="65C32C6C"/>
    <w:rsid w:val="66576847"/>
    <w:rsid w:val="66EF6A80"/>
    <w:rsid w:val="68482489"/>
    <w:rsid w:val="68776D2D"/>
    <w:rsid w:val="69AE677E"/>
    <w:rsid w:val="6A271D1A"/>
    <w:rsid w:val="6A2B6021"/>
    <w:rsid w:val="6AA438DD"/>
    <w:rsid w:val="6AD20B92"/>
    <w:rsid w:val="6E0F7A08"/>
    <w:rsid w:val="6E88784F"/>
    <w:rsid w:val="6F3239AE"/>
    <w:rsid w:val="6F7B5355"/>
    <w:rsid w:val="6F8B1310"/>
    <w:rsid w:val="6F9A1006"/>
    <w:rsid w:val="700A492A"/>
    <w:rsid w:val="71453E6C"/>
    <w:rsid w:val="71D238A3"/>
    <w:rsid w:val="72B172DF"/>
    <w:rsid w:val="72C40DC1"/>
    <w:rsid w:val="73AB5662"/>
    <w:rsid w:val="74A005C1"/>
    <w:rsid w:val="74C4779E"/>
    <w:rsid w:val="768947FB"/>
    <w:rsid w:val="76EB6545"/>
    <w:rsid w:val="78026874"/>
    <w:rsid w:val="784968FE"/>
    <w:rsid w:val="785C1A9B"/>
    <w:rsid w:val="78FA0CB3"/>
    <w:rsid w:val="790243F1"/>
    <w:rsid w:val="7C4067EE"/>
    <w:rsid w:val="7C5C4760"/>
    <w:rsid w:val="7E8B3E88"/>
    <w:rsid w:val="7F880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宋体" w:eastAsia="宋体" w:cs="Times New Roman"/>
      <w:szCs w:val="21"/>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无间隔1"/>
    <w:qFormat/>
    <w:uiPriority w:val="99"/>
    <w:pPr>
      <w:ind w:firstLine="200" w:firstLineChars="200"/>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5122</Words>
  <Characters>5348</Characters>
  <Lines>0</Lines>
  <Paragraphs>0</Paragraphs>
  <TotalTime>177</TotalTime>
  <ScaleCrop>false</ScaleCrop>
  <LinksUpToDate>false</LinksUpToDate>
  <CharactersWithSpaces>6540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2021-12-28T09:38:00Z</dcterms:created>
  <dc:creator>x1994</dc:creator>
  <cp:lastModifiedBy>呦呦呦丨</cp:lastModifiedBy>
  <dcterms:modified xsi:type="dcterms:W3CDTF">2023-08-21T08:10:46Z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9EE8783D6BC148C1A62A709D5A738581</vt:lpwstr>
  </property>
</Properties>
</file>