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6" w:lineRule="exact"/>
        <w:rPr>
          <w:sz w:val="32"/>
          <w:szCs w:val="32"/>
        </w:rPr>
      </w:pPr>
    </w:p>
    <w:p>
      <w:pPr>
        <w:spacing w:line="576" w:lineRule="exact"/>
        <w:jc w:val="center"/>
        <w:rPr>
          <w:rFonts w:hint="eastAsia"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  <w:lang w:val="en-US" w:eastAsia="zh-CN"/>
        </w:rPr>
        <w:t>叶集区消防救援大队</w:t>
      </w:r>
      <w:r>
        <w:rPr>
          <w:rFonts w:hint="eastAsia" w:eastAsia="方正小标宋简体"/>
          <w:sz w:val="44"/>
          <w:szCs w:val="44"/>
        </w:rPr>
        <w:t>项目支出绩效评价报告</w:t>
      </w:r>
    </w:p>
    <w:p>
      <w:pPr>
        <w:spacing w:line="576" w:lineRule="exact"/>
        <w:ind w:firstLine="640" w:firstLineChars="200"/>
        <w:rPr>
          <w:sz w:val="32"/>
          <w:szCs w:val="32"/>
        </w:rPr>
      </w:pPr>
    </w:p>
    <w:p>
      <w:pPr>
        <w:spacing w:line="576" w:lineRule="exact"/>
        <w:ind w:firstLine="640" w:firstLineChars="200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>
      <w:pPr>
        <w:widowControl/>
        <w:shd w:val="clear" w:color="auto" w:fill="FFFFFF"/>
        <w:spacing w:before="240" w:after="240" w:line="555" w:lineRule="atLeast"/>
        <w:ind w:firstLine="646"/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（一）项目概况。包括项目背景、主要内容及实施情况、资金投入和使用情况等。</w:t>
      </w:r>
    </w:p>
    <w:p>
      <w:pPr>
        <w:widowControl/>
        <w:shd w:val="clear" w:color="auto" w:fill="FFFFFF"/>
        <w:spacing w:before="240" w:after="240" w:line="555" w:lineRule="atLeast"/>
        <w:ind w:firstLine="646"/>
        <w:jc w:val="left"/>
        <w:rPr>
          <w:rFonts w:hint="eastAsia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</w:rPr>
        <w:t>为保障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消防救援的</w:t>
      </w:r>
      <w:r>
        <w:rPr>
          <w:rFonts w:hint="eastAsia" w:ascii="Times New Roman" w:hAnsi="Times New Roman" w:cs="Times New Roman"/>
          <w:sz w:val="32"/>
          <w:szCs w:val="32"/>
        </w:rPr>
        <w:t>均衡发展,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我们的责任是本着独立、客观、公正的原则，</w:t>
      </w:r>
      <w:r>
        <w:rPr>
          <w:rFonts w:hint="eastAsia" w:ascii="Times New Roman" w:hAnsi="Times New Roman" w:cs="Times New Roman"/>
          <w:sz w:val="32"/>
          <w:szCs w:val="32"/>
        </w:rPr>
        <w:t>根据《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六安市叶集区财政局关于编制2021-2023年滚动财政规划和2022年部门预算的通知</w:t>
      </w:r>
      <w:r>
        <w:rPr>
          <w:rFonts w:hint="eastAsia" w:ascii="Times New Roman" w:hAnsi="Times New Roman" w:cs="Times New Roman"/>
          <w:sz w:val="32"/>
          <w:szCs w:val="32"/>
        </w:rPr>
        <w:t>》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要求，为确保我单位执勤训练、防火灭火及抢险救援工作的正常开展，叶集区消防救援大队主要承担城乡综合性消防救援工作，负责指挥调度相关灾害事故救援行动，重要会议、大型活动消防安全保卫工作；负责火灾预防、消防监督执法以及火灾事故调查处理相关工作，依法行使消防安全综合监管职能，推动落实消防安全责任制；负责消防安全宣传教育，组织指导社会消防力量建设等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本次绩效评价涉及叶集区消防救援大队消防保障专项经费项目，项目建设资金来源为地方财政保障资金，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年年初预算共1个项目，年初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预算总金额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716.70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万元，全年预算数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716.70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万元，全年执行数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583.85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万元，执行率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81.46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%。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差额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132.85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万元，主要是因工作安排，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消防装备器材购置及维护费未支出完毕，原因是未到</w:t>
      </w:r>
      <w:r>
        <w:rPr>
          <w:rFonts w:hint="eastAsia" w:ascii="仿宋_GB2312" w:hAnsi="仿宋_GB2312" w:cs="仿宋_GB2312"/>
          <w:color w:val="auto"/>
          <w:kern w:val="0"/>
          <w:sz w:val="32"/>
          <w:szCs w:val="32"/>
          <w:lang w:val="en-US" w:eastAsia="zh-CN"/>
        </w:rPr>
        <w:t>总队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统一</w:t>
      </w:r>
      <w:r>
        <w:rPr>
          <w:rFonts w:hint="eastAsia" w:ascii="仿宋_GB2312" w:hAnsi="仿宋_GB2312" w:cs="仿宋_GB2312"/>
          <w:color w:val="auto"/>
          <w:kern w:val="0"/>
          <w:sz w:val="32"/>
          <w:szCs w:val="32"/>
          <w:lang w:val="en-US" w:eastAsia="zh-CN"/>
        </w:rPr>
        <w:t>支付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时间</w:t>
      </w:r>
      <w:r>
        <w:rPr>
          <w:rFonts w:hint="eastAsia" w:ascii="仿宋_GB2312" w:hAnsi="仿宋_GB2312" w:cs="仿宋_GB2312"/>
          <w:color w:val="auto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kern w:val="0"/>
          <w:sz w:val="32"/>
          <w:szCs w:val="32"/>
          <w:lang w:val="en-US" w:eastAsia="zh-CN"/>
        </w:rPr>
        <w:t>消防保障专项经费项目均为消防业务专项经费支出，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其中，包括消防业务培训、灭火救援、安全检查等项目。</w:t>
      </w:r>
    </w:p>
    <w:p>
      <w:pPr>
        <w:numPr>
          <w:ilvl w:val="0"/>
          <w:numId w:val="1"/>
        </w:numPr>
        <w:spacing w:line="576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项目绩效目标。包括总体目标和阶段性目标。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kern w:val="0"/>
          <w:sz w:val="32"/>
          <w:szCs w:val="32"/>
          <w:lang w:val="en-US" w:eastAsia="zh-CN"/>
        </w:rPr>
        <w:t>202</w:t>
      </w:r>
      <w:r>
        <w:rPr>
          <w:rFonts w:hint="eastAsia" w:cs="Times New Roman"/>
          <w:color w:val="auto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color w:val="auto"/>
          <w:kern w:val="0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cs="Times New Roman"/>
          <w:color w:val="auto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color w:val="auto"/>
          <w:kern w:val="0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cs="Times New Roman"/>
          <w:color w:val="auto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color w:val="auto"/>
          <w:kern w:val="0"/>
          <w:sz w:val="32"/>
          <w:szCs w:val="32"/>
          <w:lang w:val="en-US" w:eastAsia="zh-CN"/>
        </w:rPr>
        <w:t>日至</w:t>
      </w:r>
      <w:r>
        <w:rPr>
          <w:rFonts w:hint="eastAsia" w:ascii="Times New Roman" w:hAnsi="Times New Roman" w:cs="Times New Roman"/>
          <w:color w:val="auto"/>
          <w:kern w:val="0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color w:val="auto"/>
          <w:kern w:val="0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cs="Times New Roman"/>
          <w:color w:val="auto"/>
          <w:kern w:val="0"/>
          <w:sz w:val="32"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color w:val="auto"/>
          <w:kern w:val="0"/>
          <w:sz w:val="32"/>
          <w:szCs w:val="32"/>
          <w:lang w:val="en-US" w:eastAsia="zh-CN"/>
        </w:rPr>
        <w:t>日，不断提升消防业务水平，负责全区机关、团体、企事业单位的防火监督、开业前消防检查、消防知识普及、消防业务培训、灭火救援等，全区无较大以上亡人火灾事故或造成较大社会负面影响的火灾事故，重要节假日、重大活动安保期间不发生有较大影响的火灾，各项火灾及接警统计数据全面、真实、准确。</w:t>
      </w:r>
    </w:p>
    <w:p>
      <w:pPr>
        <w:spacing w:line="576" w:lineRule="exact"/>
        <w:ind w:firstLine="640" w:firstLineChars="200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二、绩效评价工作开展情况</w:t>
      </w:r>
    </w:p>
    <w:p>
      <w:pPr>
        <w:spacing w:line="576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（一）绩效评价目的、对象和范围。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kern w:val="0"/>
          <w:sz w:val="32"/>
          <w:szCs w:val="32"/>
          <w:lang w:val="en-US" w:eastAsia="zh-CN"/>
        </w:rPr>
        <w:t>评价工作共分四个阶段，即准备阶段：确定评价任务、确定评价任务的实施模式、编制评价任务大纲；设计阶段:前期准备、确定绩效评价框架、形成评价实施方案；实施阶段：证据收集、证据整理、证据分析、形成评估结论经验教训和建议；最后将结果反馈、应用和公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kern w:val="0"/>
          <w:sz w:val="32"/>
          <w:szCs w:val="32"/>
          <w:lang w:val="en-US" w:eastAsia="zh-CN"/>
        </w:rPr>
        <w:t>采用层次分析法，将绩效评价指标分为投入和管理、产出、效益和满意度四个层次，最终形成一个由多个相互联系的指标组成的多层次指标体系。然后由评价组对指标进行分析、权衡、补充和选择，确定评价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cs="仿宋_GB2312"/>
          <w:color w:val="auto"/>
          <w:kern w:val="0"/>
          <w:sz w:val="32"/>
          <w:szCs w:val="32"/>
          <w:lang w:val="en-US" w:eastAsia="zh-CN"/>
        </w:rPr>
      </w:pPr>
    </w:p>
    <w:p>
      <w:pPr>
        <w:widowControl/>
        <w:numPr>
          <w:ilvl w:val="0"/>
          <w:numId w:val="0"/>
        </w:numPr>
        <w:shd w:val="clear" w:color="auto" w:fill="FFFFFF"/>
        <w:spacing w:before="240" w:after="240" w:line="360" w:lineRule="auto"/>
        <w:ind w:leftChars="200"/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（二）</w:t>
      </w:r>
      <w:r>
        <w:rPr>
          <w:rFonts w:hint="eastAsia"/>
          <w:sz w:val="32"/>
          <w:szCs w:val="32"/>
        </w:rPr>
        <w:t>绩效评价原则、评价指标体系、评价方法、评价标准等。</w:t>
      </w:r>
    </w:p>
    <w:p>
      <w:pPr>
        <w:widowControl/>
        <w:numPr>
          <w:ilvl w:val="0"/>
          <w:numId w:val="0"/>
        </w:numPr>
        <w:shd w:val="clear" w:color="auto" w:fill="FFFFFF"/>
        <w:spacing w:before="240" w:after="240" w:line="360" w:lineRule="auto"/>
        <w:ind w:leftChars="200"/>
        <w:jc w:val="left"/>
        <w:rPr>
          <w:rFonts w:hint="eastAsia" w:ascii="Times New Roman" w:hAnsi="Times New Roman" w:cs="Times New Roman"/>
          <w:sz w:val="32"/>
          <w:szCs w:val="32"/>
        </w:rPr>
      </w:pPr>
      <w:r>
        <w:rPr>
          <w:rFonts w:hint="eastAsia" w:ascii="Times New Roman" w:hAnsi="Times New Roman" w:cs="Times New Roman"/>
          <w:sz w:val="32"/>
          <w:szCs w:val="32"/>
        </w:rPr>
        <w:t>科学规范原则：注重项目支出的真实性和有效性，严格执行规定的程序，采用定量与定性分析相结合的方法。</w:t>
      </w:r>
    </w:p>
    <w:p>
      <w:pPr>
        <w:widowControl/>
        <w:numPr>
          <w:ilvl w:val="0"/>
          <w:numId w:val="0"/>
        </w:numPr>
        <w:shd w:val="clear" w:color="auto" w:fill="FFFFFF"/>
        <w:spacing w:before="240" w:after="240" w:line="360" w:lineRule="auto"/>
        <w:ind w:leftChars="200"/>
        <w:jc w:val="left"/>
        <w:rPr>
          <w:rFonts w:hint="eastAsia" w:ascii="Times New Roman" w:hAnsi="Times New Roman" w:cs="Times New Roman"/>
          <w:sz w:val="32"/>
          <w:szCs w:val="32"/>
        </w:rPr>
      </w:pPr>
      <w:r>
        <w:rPr>
          <w:rFonts w:hint="eastAsia" w:ascii="Times New Roman" w:hAnsi="Times New Roman" w:cs="Times New Roman"/>
          <w:sz w:val="32"/>
          <w:szCs w:val="32"/>
        </w:rPr>
        <w:t>公正公开原则：遵循客观、公正的原则，标准统一、资料可靠，依法公开并接受监督。</w:t>
      </w:r>
    </w:p>
    <w:p>
      <w:pPr>
        <w:widowControl/>
        <w:numPr>
          <w:ilvl w:val="0"/>
          <w:numId w:val="0"/>
        </w:numPr>
        <w:shd w:val="clear" w:color="auto" w:fill="FFFFFF"/>
        <w:spacing w:before="240" w:after="240" w:line="360" w:lineRule="auto"/>
        <w:ind w:leftChars="200"/>
        <w:jc w:val="left"/>
        <w:rPr>
          <w:rFonts w:hint="eastAsia" w:ascii="Times New Roman" w:hAnsi="Times New Roman" w:cs="Times New Roman"/>
          <w:sz w:val="32"/>
          <w:szCs w:val="32"/>
        </w:rPr>
      </w:pPr>
      <w:r>
        <w:rPr>
          <w:rFonts w:hint="eastAsia" w:ascii="Times New Roman" w:hAnsi="Times New Roman" w:cs="Times New Roman"/>
          <w:sz w:val="32"/>
          <w:szCs w:val="32"/>
        </w:rPr>
        <w:t>绩效相关原则：针对具体支出及其项目绩效进行评价，以保证评价结果清晰反映项目支出和绩效之间的紧密对应关系。</w:t>
      </w:r>
    </w:p>
    <w:p>
      <w:pPr>
        <w:widowControl/>
        <w:numPr>
          <w:ilvl w:val="0"/>
          <w:numId w:val="0"/>
        </w:numPr>
        <w:shd w:val="clear" w:color="auto" w:fill="FFFFFF"/>
        <w:spacing w:before="240" w:after="240" w:line="360" w:lineRule="auto"/>
        <w:ind w:leftChars="200"/>
        <w:jc w:val="left"/>
        <w:rPr>
          <w:rFonts w:hint="eastAsia" w:ascii="Times New Roman" w:hAnsi="Times New Roman" w:cs="Times New Roman"/>
          <w:sz w:val="32"/>
          <w:szCs w:val="32"/>
        </w:rPr>
      </w:pPr>
      <w:r>
        <w:rPr>
          <w:rFonts w:hint="eastAsia" w:ascii="Times New Roman" w:hAnsi="Times New Roman" w:cs="Times New Roman"/>
          <w:sz w:val="32"/>
          <w:szCs w:val="32"/>
        </w:rPr>
        <w:t>计划标准：以预先制定的目标、计划、预算、定额等数据作为评价标准。</w:t>
      </w:r>
    </w:p>
    <w:p>
      <w:pPr>
        <w:widowControl/>
        <w:numPr>
          <w:ilvl w:val="0"/>
          <w:numId w:val="0"/>
        </w:numPr>
        <w:shd w:val="clear" w:color="auto" w:fill="FFFFFF"/>
        <w:spacing w:before="240" w:after="240" w:line="360" w:lineRule="auto"/>
        <w:ind w:leftChars="200"/>
        <w:jc w:val="left"/>
        <w:rPr>
          <w:rFonts w:hint="eastAsia" w:ascii="Times New Roman" w:hAnsi="Times New Roman" w:cs="Times New Roman"/>
          <w:sz w:val="32"/>
          <w:szCs w:val="32"/>
        </w:rPr>
      </w:pPr>
      <w:r>
        <w:rPr>
          <w:rFonts w:hint="eastAsia" w:ascii="Times New Roman" w:hAnsi="Times New Roman" w:cs="Times New Roman"/>
          <w:sz w:val="32"/>
          <w:szCs w:val="32"/>
        </w:rPr>
        <w:t>行业标准：参照国家、本省、市、县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、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区</w:t>
      </w:r>
      <w:r>
        <w:rPr>
          <w:rFonts w:hint="eastAsia" w:ascii="Times New Roman" w:hAnsi="Times New Roman" w:cs="Times New Roman"/>
          <w:sz w:val="32"/>
          <w:szCs w:val="32"/>
        </w:rPr>
        <w:t>公布的相关行业评价标准。</w:t>
      </w:r>
    </w:p>
    <w:p>
      <w:pPr>
        <w:widowControl/>
        <w:numPr>
          <w:ilvl w:val="0"/>
          <w:numId w:val="0"/>
        </w:numPr>
        <w:shd w:val="clear" w:color="auto" w:fill="FFFFFF"/>
        <w:spacing w:before="240" w:after="240" w:line="360" w:lineRule="auto"/>
        <w:ind w:leftChars="200"/>
        <w:jc w:val="left"/>
        <w:rPr>
          <w:rFonts w:hint="eastAsia" w:ascii="Times New Roman" w:hAnsi="Times New Roman" w:cs="Times New Roman"/>
          <w:sz w:val="32"/>
          <w:szCs w:val="32"/>
        </w:rPr>
      </w:pPr>
      <w:r>
        <w:rPr>
          <w:rFonts w:hint="eastAsia" w:ascii="Times New Roman" w:hAnsi="Times New Roman" w:cs="Times New Roman"/>
          <w:sz w:val="32"/>
          <w:szCs w:val="32"/>
        </w:rPr>
        <w:t>历史标准：同类指标采用历史数据制定的评价标准。</w:t>
      </w:r>
    </w:p>
    <w:p>
      <w:pPr>
        <w:widowControl/>
        <w:numPr>
          <w:ilvl w:val="0"/>
          <w:numId w:val="0"/>
        </w:numPr>
        <w:shd w:val="clear" w:color="auto" w:fill="FFFFFF"/>
        <w:spacing w:before="240" w:after="240" w:line="360" w:lineRule="auto"/>
        <w:ind w:leftChars="200"/>
        <w:jc w:val="left"/>
        <w:rPr>
          <w:rFonts w:hint="eastAsia" w:ascii="Times New Roman" w:hAnsi="Times New Roman" w:cs="Times New Roman"/>
          <w:sz w:val="32"/>
          <w:szCs w:val="32"/>
        </w:rPr>
      </w:pPr>
      <w:r>
        <w:rPr>
          <w:rFonts w:hint="eastAsia" w:ascii="Times New Roman" w:hAnsi="Times New Roman" w:cs="Times New Roman"/>
          <w:sz w:val="32"/>
          <w:szCs w:val="32"/>
        </w:rPr>
        <w:t>其他标准：经财政部门确认的其他标准。</w:t>
      </w:r>
    </w:p>
    <w:p>
      <w:pPr>
        <w:widowControl/>
        <w:numPr>
          <w:ilvl w:val="0"/>
          <w:numId w:val="0"/>
        </w:numPr>
        <w:shd w:val="clear" w:color="auto" w:fill="FFFFFF"/>
        <w:spacing w:before="240" w:after="240" w:line="360" w:lineRule="auto"/>
        <w:ind w:leftChars="200"/>
        <w:jc w:val="left"/>
        <w:rPr>
          <w:rFonts w:hint="eastAsia" w:ascii="Times New Roman" w:hAnsi="Times New Roman" w:cs="Times New Roman"/>
          <w:sz w:val="32"/>
          <w:szCs w:val="32"/>
        </w:rPr>
      </w:pPr>
      <w:r>
        <w:rPr>
          <w:rFonts w:hint="eastAsia" w:ascii="Times New Roman" w:hAnsi="Times New Roman" w:cs="Times New Roman"/>
          <w:sz w:val="32"/>
          <w:szCs w:val="32"/>
        </w:rPr>
        <w:t>以项目为评价对象，由被评价单位承担撰写项目支出绩效自评报告。</w:t>
      </w:r>
    </w:p>
    <w:p>
      <w:pPr>
        <w:widowControl/>
        <w:numPr>
          <w:ilvl w:val="0"/>
          <w:numId w:val="0"/>
        </w:numPr>
        <w:shd w:val="clear" w:color="auto" w:fill="FFFFFF"/>
        <w:spacing w:before="240" w:after="240" w:line="360" w:lineRule="auto"/>
        <w:ind w:leftChars="200"/>
        <w:jc w:val="left"/>
        <w:rPr>
          <w:rFonts w:hint="eastAsia" w:ascii="Times New Roman" w:hAnsi="Times New Roman" w:cs="Times New Roman"/>
          <w:sz w:val="32"/>
          <w:szCs w:val="32"/>
        </w:rPr>
      </w:pPr>
      <w:r>
        <w:rPr>
          <w:rFonts w:hint="eastAsia" w:ascii="Times New Roman" w:hAnsi="Times New Roman" w:cs="Times New Roman"/>
          <w:sz w:val="32"/>
          <w:szCs w:val="32"/>
        </w:rPr>
        <w:t>组织绩效评价工作组在评价单位绩效自评报告的基础上，对照评价指标和计分标准进行评价，对项目支出的实施情况进行核查，核实相关信息并量化评分，形成项目支出绩效评价表和绩效评价报告。</w:t>
      </w:r>
    </w:p>
    <w:p>
      <w:pPr>
        <w:spacing w:line="576" w:lineRule="exact"/>
        <w:ind w:firstLine="640" w:firstLineChars="200"/>
        <w:rPr>
          <w:rFonts w:hint="eastAsia"/>
          <w:sz w:val="32"/>
          <w:szCs w:val="32"/>
        </w:rPr>
      </w:pPr>
    </w:p>
    <w:p>
      <w:pPr>
        <w:spacing w:line="576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（三）绩效评价工作过程。</w:t>
      </w:r>
    </w:p>
    <w:p>
      <w:pPr>
        <w:spacing w:line="576" w:lineRule="exact"/>
        <w:ind w:firstLine="640" w:firstLineChars="200"/>
        <w:rPr>
          <w:rFonts w:hint="eastAsia" w:ascii="Times New Roman" w:hAnsi="Times New Roman" w:cs="Times New Roman"/>
          <w:sz w:val="32"/>
          <w:szCs w:val="32"/>
        </w:rPr>
      </w:pPr>
      <w:r>
        <w:rPr>
          <w:rFonts w:hint="eastAsia" w:ascii="Times New Roman" w:hAnsi="Times New Roman" w:cs="Times New Roman"/>
          <w:sz w:val="32"/>
          <w:szCs w:val="32"/>
        </w:rPr>
        <w:t>我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队</w:t>
      </w:r>
      <w:r>
        <w:rPr>
          <w:rFonts w:hint="eastAsia" w:ascii="Times New Roman" w:hAnsi="Times New Roman" w:cs="Times New Roman"/>
          <w:sz w:val="32"/>
          <w:szCs w:val="32"/>
        </w:rPr>
        <w:t>及时组织了绩效评价小组，并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咨询</w:t>
      </w:r>
      <w:r>
        <w:rPr>
          <w:rFonts w:hint="eastAsia" w:ascii="Times New Roman" w:hAnsi="Times New Roman" w:cs="Times New Roman"/>
          <w:sz w:val="32"/>
          <w:szCs w:val="32"/>
        </w:rPr>
        <w:t>相关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专业人士</w:t>
      </w:r>
      <w:r>
        <w:rPr>
          <w:rFonts w:hint="eastAsia" w:ascii="Times New Roman" w:hAnsi="Times New Roman" w:cs="Times New Roman"/>
          <w:sz w:val="32"/>
          <w:szCs w:val="32"/>
        </w:rPr>
        <w:t>，具体负责组织实施本次评价工作，制订项目评价的工作思路及工作安排，参考学习相关制度、实施方案和相关的工作文件，为评价工作的开展提供工作指引。</w:t>
      </w:r>
    </w:p>
    <w:p>
      <w:pPr>
        <w:spacing w:line="576" w:lineRule="exact"/>
        <w:ind w:firstLine="640" w:firstLineChars="200"/>
        <w:rPr>
          <w:rFonts w:hint="eastAsia" w:ascii="Times New Roman" w:hAnsi="Times New Roman" w:cs="Times New Roman"/>
          <w:sz w:val="32"/>
          <w:szCs w:val="32"/>
        </w:rPr>
      </w:pPr>
      <w:r>
        <w:rPr>
          <w:rFonts w:hint="eastAsia" w:ascii="Times New Roman" w:hAnsi="Times New Roman" w:cs="Times New Roman"/>
          <w:sz w:val="32"/>
          <w:szCs w:val="32"/>
        </w:rPr>
        <w:t> 评价小组根据项目的实际情况及资金分配、使用及自评情况，及时与项目实施单位沟通协商，确定现场评价时间进行现场勘察、核实工作，并做相关问卷调查，据实酌情调整完善评价指标体系，剖析问题产生原因。</w:t>
      </w:r>
    </w:p>
    <w:p>
      <w:pPr>
        <w:spacing w:line="576" w:lineRule="exact"/>
        <w:ind w:firstLine="640" w:firstLineChars="200"/>
        <w:rPr>
          <w:rFonts w:hint="eastAsia" w:ascii="Times New Roman" w:hAnsi="Times New Roman" w:cs="Times New Roman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sz w:val="32"/>
          <w:szCs w:val="32"/>
        </w:rPr>
        <w:t> 评价小组根据现场勘察情况和书面资料整理分析情况，围绕评价指标体系对项目支出绩效进行评分，并撰写绩效评价报告。绩效评价报告正式定稿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。</w:t>
      </w:r>
    </w:p>
    <w:p>
      <w:pPr>
        <w:spacing w:line="576" w:lineRule="exact"/>
        <w:ind w:firstLine="640" w:firstLineChars="200"/>
        <w:rPr>
          <w:rFonts w:hint="eastAsia" w:ascii="Times New Roman" w:hAnsi="Times New Roman" w:cs="Times New Roman"/>
          <w:sz w:val="32"/>
          <w:szCs w:val="32"/>
        </w:rPr>
      </w:pPr>
      <w:r>
        <w:rPr>
          <w:rFonts w:hint="eastAsia" w:ascii="Times New Roman" w:hAnsi="Times New Roman" w:cs="Times New Roman"/>
          <w:sz w:val="32"/>
          <w:szCs w:val="32"/>
        </w:rPr>
        <w:t>评价小组对本次绩效评价工作资料进行整理，完善绩效评价工作底稿，然后归档。</w:t>
      </w:r>
    </w:p>
    <w:p>
      <w:pPr>
        <w:spacing w:line="576" w:lineRule="exact"/>
        <w:ind w:firstLine="640" w:firstLineChars="200"/>
        <w:rPr>
          <w:rFonts w:hint="eastAsia" w:eastAsia="黑体"/>
          <w:sz w:val="32"/>
          <w:szCs w:val="32"/>
        </w:rPr>
      </w:pPr>
    </w:p>
    <w:p>
      <w:pPr>
        <w:numPr>
          <w:ilvl w:val="0"/>
          <w:numId w:val="2"/>
        </w:numPr>
        <w:spacing w:line="576" w:lineRule="exact"/>
        <w:ind w:firstLine="640" w:firstLineChars="200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综合评价情况及评价结论</w:t>
      </w:r>
    </w:p>
    <w:p>
      <w:pPr>
        <w:spacing w:line="576" w:lineRule="exact"/>
        <w:ind w:firstLine="640" w:firstLineChars="200"/>
        <w:rPr>
          <w:rFonts w:hint="eastAsia" w:ascii="Times New Roman" w:hAnsi="Times New Roman" w:cs="Times New Roman"/>
          <w:sz w:val="32"/>
          <w:szCs w:val="32"/>
        </w:rPr>
      </w:pPr>
      <w:r>
        <w:rPr>
          <w:rFonts w:hint="eastAsia" w:ascii="Times New Roman" w:hAnsi="Times New Roman" w:cs="Times New Roman"/>
          <w:sz w:val="32"/>
          <w:szCs w:val="32"/>
        </w:rPr>
        <w:t>绩效评价综合得分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97</w:t>
      </w:r>
      <w:r>
        <w:rPr>
          <w:rFonts w:hint="eastAsia" w:ascii="Times New Roman" w:hAnsi="Times New Roman" w:cs="Times New Roman"/>
          <w:sz w:val="32"/>
          <w:szCs w:val="32"/>
        </w:rPr>
        <w:t>分，评价等级为优秀。本项目符合国家产业政策，项目管理有效，社会效益明显，项目建设能够形成可持续的影响。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0"/>
        <w:gridCol w:w="1370"/>
        <w:gridCol w:w="1370"/>
        <w:gridCol w:w="1370"/>
        <w:gridCol w:w="1370"/>
        <w:gridCol w:w="13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7" w:hRule="atLeast"/>
        </w:trPr>
        <w:tc>
          <w:tcPr>
            <w:tcW w:w="1370" w:type="dxa"/>
            <w:vAlign w:val="center"/>
          </w:tcPr>
          <w:p>
            <w:pPr>
              <w:spacing w:line="576" w:lineRule="exact"/>
              <w:ind w:firstLine="640" w:firstLineChars="200"/>
              <w:rPr>
                <w:rFonts w:hint="eastAsia" w:ascii="Times New Roman" w:hAnsi="Times New Roman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</w:rPr>
              <w:t>指标</w:t>
            </w:r>
          </w:p>
        </w:tc>
        <w:tc>
          <w:tcPr>
            <w:tcW w:w="1370" w:type="dxa"/>
            <w:vAlign w:val="center"/>
          </w:tcPr>
          <w:p>
            <w:pPr>
              <w:spacing w:line="576" w:lineRule="exact"/>
              <w:ind w:firstLine="640" w:firstLineChars="200"/>
              <w:rPr>
                <w:rFonts w:hint="eastAsia" w:ascii="Times New Roman" w:hAnsi="Times New Roman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</w:rPr>
              <w:t>投入和管理</w:t>
            </w:r>
          </w:p>
        </w:tc>
        <w:tc>
          <w:tcPr>
            <w:tcW w:w="1370" w:type="dxa"/>
            <w:vAlign w:val="center"/>
          </w:tcPr>
          <w:p>
            <w:pPr>
              <w:spacing w:line="576" w:lineRule="exact"/>
              <w:ind w:firstLine="640" w:firstLineChars="200"/>
              <w:rPr>
                <w:rFonts w:hint="eastAsia" w:ascii="Times New Roman" w:hAnsi="Times New Roman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</w:rPr>
              <w:t>产出</w:t>
            </w:r>
          </w:p>
        </w:tc>
        <w:tc>
          <w:tcPr>
            <w:tcW w:w="1370" w:type="dxa"/>
            <w:vAlign w:val="center"/>
          </w:tcPr>
          <w:p>
            <w:pPr>
              <w:spacing w:line="576" w:lineRule="exact"/>
              <w:ind w:firstLine="640" w:firstLineChars="200"/>
              <w:rPr>
                <w:rFonts w:hint="eastAsia" w:ascii="Times New Roman" w:hAnsi="Times New Roman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</w:rPr>
              <w:t>效益</w:t>
            </w:r>
          </w:p>
        </w:tc>
        <w:tc>
          <w:tcPr>
            <w:tcW w:w="1370" w:type="dxa"/>
            <w:vAlign w:val="center"/>
          </w:tcPr>
          <w:p>
            <w:pPr>
              <w:spacing w:line="576" w:lineRule="exact"/>
              <w:ind w:firstLine="640" w:firstLineChars="200"/>
              <w:rPr>
                <w:rFonts w:hint="eastAsia" w:ascii="Times New Roman" w:hAnsi="Times New Roman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</w:rPr>
              <w:t>满意度</w:t>
            </w:r>
          </w:p>
        </w:tc>
        <w:tc>
          <w:tcPr>
            <w:tcW w:w="1370" w:type="dxa"/>
            <w:vAlign w:val="center"/>
          </w:tcPr>
          <w:p>
            <w:pPr>
              <w:spacing w:line="576" w:lineRule="exact"/>
              <w:ind w:firstLine="640" w:firstLineChars="200"/>
              <w:rPr>
                <w:rFonts w:hint="eastAsia" w:ascii="Times New Roman" w:hAnsi="Times New Roman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</w:rPr>
              <w:t>合 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370" w:type="dxa"/>
            <w:vAlign w:val="center"/>
          </w:tcPr>
          <w:p>
            <w:pPr>
              <w:spacing w:line="576" w:lineRule="exact"/>
              <w:ind w:firstLine="640" w:firstLineChars="200"/>
              <w:rPr>
                <w:rFonts w:hint="eastAsia" w:ascii="Times New Roman" w:hAnsi="Times New Roman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</w:rPr>
              <w:t>分值</w:t>
            </w:r>
          </w:p>
        </w:tc>
        <w:tc>
          <w:tcPr>
            <w:tcW w:w="1370" w:type="dxa"/>
            <w:vAlign w:val="center"/>
          </w:tcPr>
          <w:p>
            <w:pPr>
              <w:spacing w:line="576" w:lineRule="exact"/>
              <w:ind w:firstLine="640" w:firstLineChars="200"/>
              <w:rPr>
                <w:rFonts w:hint="default" w:ascii="Times New Roman" w:hAnsi="Times New Roman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  <w:lang w:val="en-US" w:eastAsia="zh-CN"/>
              </w:rPr>
              <w:t>30</w:t>
            </w:r>
          </w:p>
        </w:tc>
        <w:tc>
          <w:tcPr>
            <w:tcW w:w="1370" w:type="dxa"/>
            <w:vAlign w:val="center"/>
          </w:tcPr>
          <w:p>
            <w:pPr>
              <w:spacing w:line="576" w:lineRule="exact"/>
              <w:ind w:firstLine="640" w:firstLineChars="200"/>
              <w:rPr>
                <w:rFonts w:hint="default" w:ascii="Times New Roman" w:hAnsi="Times New Roman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  <w:lang w:val="en-US" w:eastAsia="zh-CN"/>
              </w:rPr>
              <w:t>40</w:t>
            </w:r>
          </w:p>
        </w:tc>
        <w:tc>
          <w:tcPr>
            <w:tcW w:w="1370" w:type="dxa"/>
            <w:vAlign w:val="center"/>
          </w:tcPr>
          <w:p>
            <w:pPr>
              <w:spacing w:line="576" w:lineRule="exact"/>
              <w:ind w:firstLine="640" w:firstLineChars="200"/>
              <w:rPr>
                <w:rFonts w:hint="default" w:ascii="Times New Roman" w:hAnsi="Times New Roman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  <w:lang w:val="en-US" w:eastAsia="zh-CN"/>
              </w:rPr>
              <w:t>20</w:t>
            </w:r>
          </w:p>
        </w:tc>
        <w:tc>
          <w:tcPr>
            <w:tcW w:w="1370" w:type="dxa"/>
            <w:vAlign w:val="center"/>
          </w:tcPr>
          <w:p>
            <w:pPr>
              <w:spacing w:line="576" w:lineRule="exact"/>
              <w:ind w:firstLine="640" w:firstLineChars="200"/>
              <w:rPr>
                <w:rFonts w:hint="eastAsia" w:ascii="Times New Roman" w:hAnsi="Times New Roman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1370" w:type="dxa"/>
            <w:vAlign w:val="center"/>
          </w:tcPr>
          <w:p>
            <w:pPr>
              <w:spacing w:line="576" w:lineRule="exact"/>
              <w:ind w:firstLine="640" w:firstLineChars="200"/>
              <w:rPr>
                <w:rFonts w:hint="eastAsia" w:ascii="Times New Roman" w:hAnsi="Times New Roman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1370" w:type="dxa"/>
            <w:vAlign w:val="center"/>
          </w:tcPr>
          <w:p>
            <w:pPr>
              <w:spacing w:line="576" w:lineRule="exact"/>
              <w:ind w:firstLine="640" w:firstLineChars="200"/>
              <w:rPr>
                <w:rFonts w:hint="eastAsia" w:ascii="Times New Roman" w:hAnsi="Times New Roman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</w:rPr>
              <w:t>得分</w:t>
            </w:r>
          </w:p>
        </w:tc>
        <w:tc>
          <w:tcPr>
            <w:tcW w:w="1370" w:type="dxa"/>
            <w:vAlign w:val="center"/>
          </w:tcPr>
          <w:p>
            <w:pPr>
              <w:spacing w:line="576" w:lineRule="exact"/>
              <w:ind w:firstLine="640" w:firstLineChars="200"/>
              <w:rPr>
                <w:rFonts w:hint="default" w:ascii="Times New Roman" w:hAnsi="Times New Roman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  <w:lang w:val="en-US" w:eastAsia="zh-CN"/>
              </w:rPr>
              <w:t>29</w:t>
            </w:r>
          </w:p>
        </w:tc>
        <w:tc>
          <w:tcPr>
            <w:tcW w:w="1370" w:type="dxa"/>
            <w:vAlign w:val="center"/>
          </w:tcPr>
          <w:p>
            <w:pPr>
              <w:spacing w:line="576" w:lineRule="exact"/>
              <w:ind w:firstLine="640" w:firstLineChars="200"/>
              <w:rPr>
                <w:rFonts w:hint="default" w:ascii="Times New Roman" w:hAnsi="Times New Roman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  <w:lang w:val="en-US" w:eastAsia="zh-CN"/>
              </w:rPr>
              <w:t>38</w:t>
            </w:r>
          </w:p>
        </w:tc>
        <w:tc>
          <w:tcPr>
            <w:tcW w:w="1370" w:type="dxa"/>
            <w:vAlign w:val="center"/>
          </w:tcPr>
          <w:p>
            <w:pPr>
              <w:spacing w:line="576" w:lineRule="exact"/>
              <w:ind w:firstLine="640" w:firstLineChars="200"/>
              <w:rPr>
                <w:rFonts w:hint="default" w:ascii="Times New Roman" w:hAnsi="Times New Roman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  <w:lang w:val="en-US" w:eastAsia="zh-CN"/>
              </w:rPr>
              <w:t>20</w:t>
            </w:r>
          </w:p>
        </w:tc>
        <w:tc>
          <w:tcPr>
            <w:tcW w:w="1370" w:type="dxa"/>
            <w:vAlign w:val="center"/>
          </w:tcPr>
          <w:p>
            <w:pPr>
              <w:spacing w:line="576" w:lineRule="exact"/>
              <w:ind w:firstLine="640" w:firstLineChars="200"/>
              <w:rPr>
                <w:rFonts w:hint="eastAsia" w:ascii="Times New Roman" w:hAnsi="Times New Roman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1370" w:type="dxa"/>
            <w:vAlign w:val="center"/>
          </w:tcPr>
          <w:p>
            <w:pPr>
              <w:spacing w:line="576" w:lineRule="exact"/>
              <w:ind w:firstLine="640" w:firstLineChars="200"/>
              <w:rPr>
                <w:rFonts w:hint="default" w:ascii="Times New Roman" w:hAnsi="Times New Roman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  <w:lang w:val="en-US" w:eastAsia="zh-CN"/>
              </w:rPr>
              <w:t>97</w:t>
            </w:r>
          </w:p>
        </w:tc>
      </w:tr>
    </w:tbl>
    <w:p>
      <w:pPr>
        <w:spacing w:line="576" w:lineRule="exact"/>
        <w:ind w:firstLine="640" w:firstLineChars="200"/>
        <w:rPr>
          <w:rFonts w:hint="eastAsia" w:ascii="Times New Roman" w:hAnsi="Times New Roman" w:cs="Times New Roman"/>
          <w:sz w:val="32"/>
          <w:szCs w:val="32"/>
        </w:rPr>
      </w:pPr>
    </w:p>
    <w:p>
      <w:pPr>
        <w:widowControl/>
        <w:shd w:val="clear" w:color="auto" w:fill="FFFFFF"/>
        <w:spacing w:before="240" w:after="240" w:line="360" w:lineRule="auto"/>
        <w:ind w:firstLine="640" w:firstLineChars="200"/>
        <w:jc w:val="left"/>
        <w:rPr>
          <w:rFonts w:ascii="仿宋" w:hAnsi="仿宋" w:eastAsia="仿宋" w:cs="Arial"/>
          <w:kern w:val="0"/>
          <w:sz w:val="28"/>
          <w:szCs w:val="28"/>
        </w:rPr>
      </w:pPr>
      <w:r>
        <w:rPr>
          <w:rFonts w:hint="eastAsia" w:eastAsia="黑体"/>
          <w:sz w:val="32"/>
          <w:szCs w:val="32"/>
        </w:rPr>
        <w:t>四、绩效评价指标分析</w:t>
      </w:r>
    </w:p>
    <w:p>
      <w:pPr>
        <w:spacing w:line="576" w:lineRule="exact"/>
        <w:ind w:firstLine="640" w:firstLineChars="200"/>
        <w:rPr>
          <w:rFonts w:hint="eastAsia" w:ascii="Times New Roman" w:hAnsi="Times New Roman" w:cs="Times New Roman"/>
          <w:sz w:val="32"/>
          <w:szCs w:val="32"/>
        </w:rPr>
      </w:pPr>
      <w:r>
        <w:rPr>
          <w:rFonts w:hint="eastAsia" w:ascii="Times New Roman" w:hAnsi="Times New Roman" w:cs="Times New Roman"/>
          <w:sz w:val="32"/>
          <w:szCs w:val="32"/>
        </w:rPr>
        <w:t>1．投入和管理指标。分值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30</w:t>
      </w:r>
      <w:r>
        <w:rPr>
          <w:rFonts w:hint="eastAsia" w:ascii="Times New Roman" w:hAnsi="Times New Roman" w:cs="Times New Roman"/>
          <w:sz w:val="32"/>
          <w:szCs w:val="32"/>
        </w:rPr>
        <w:t>分，得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30</w:t>
      </w:r>
      <w:r>
        <w:rPr>
          <w:rFonts w:hint="eastAsia" w:ascii="Times New Roman" w:hAnsi="Times New Roman" w:cs="Times New Roman"/>
          <w:sz w:val="32"/>
          <w:szCs w:val="32"/>
        </w:rPr>
        <w:t>分。</w:t>
      </w:r>
    </w:p>
    <w:p>
      <w:pPr>
        <w:spacing w:line="576" w:lineRule="exact"/>
        <w:ind w:firstLine="640" w:firstLineChars="200"/>
        <w:rPr>
          <w:rFonts w:hint="eastAsia" w:ascii="Times New Roman" w:hAnsi="Times New Roman" w:cs="Times New Roman"/>
          <w:sz w:val="32"/>
          <w:szCs w:val="32"/>
        </w:rPr>
      </w:pPr>
      <w:r>
        <w:rPr>
          <w:rFonts w:hint="eastAsia" w:ascii="Times New Roman" w:hAnsi="Times New Roman" w:cs="Times New Roman"/>
          <w:sz w:val="32"/>
          <w:szCs w:val="32"/>
        </w:rPr>
        <w:t>⑴预算执行率，分值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cs="Times New Roman"/>
          <w:sz w:val="32"/>
          <w:szCs w:val="32"/>
        </w:rPr>
        <w:t>分，得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cs="Times New Roman"/>
          <w:sz w:val="32"/>
          <w:szCs w:val="32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年年初预算共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个项目，年初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预算总金额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716.70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万元，全年预算数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716.70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万元，全年执行数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583.85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万元，执行率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81.46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%。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差额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132.85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万元，主要是因工作安排，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消防装备器材购置及维护费未支出完毕，原因是未到省统一采购时间。</w:t>
      </w:r>
    </w:p>
    <w:p>
      <w:pPr>
        <w:spacing w:line="576" w:lineRule="exact"/>
        <w:ind w:firstLine="640" w:firstLineChars="20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执行率81.46%，分值5分，得4分。</w:t>
      </w:r>
    </w:p>
    <w:p>
      <w:pPr>
        <w:spacing w:line="576" w:lineRule="exact"/>
        <w:ind w:firstLine="640" w:firstLineChars="200"/>
        <w:rPr>
          <w:rFonts w:hint="eastAsia" w:ascii="Times New Roman" w:hAnsi="Times New Roman" w:cs="Times New Roman"/>
          <w:sz w:val="32"/>
          <w:szCs w:val="32"/>
        </w:rPr>
      </w:pPr>
      <w:r>
        <w:rPr>
          <w:rFonts w:hint="eastAsia" w:ascii="Times New Roman" w:hAnsi="Times New Roman" w:cs="Times New Roman"/>
          <w:sz w:val="32"/>
          <w:szCs w:val="32"/>
        </w:rPr>
        <w:t>⑵资金到位率，分值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cs="Times New Roman"/>
          <w:sz w:val="32"/>
          <w:szCs w:val="32"/>
        </w:rPr>
        <w:t>分，得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cs="Times New Roman"/>
          <w:sz w:val="32"/>
          <w:szCs w:val="32"/>
        </w:rPr>
        <w:t>分。</w:t>
      </w:r>
    </w:p>
    <w:p>
      <w:pPr>
        <w:spacing w:line="576" w:lineRule="exact"/>
        <w:ind w:firstLine="640" w:firstLineChars="200"/>
        <w:rPr>
          <w:rFonts w:hint="eastAsia" w:ascii="Times New Roman" w:hAnsi="Times New Roman" w:cs="Times New Roman"/>
          <w:sz w:val="32"/>
          <w:szCs w:val="32"/>
        </w:rPr>
      </w:pPr>
      <w:r>
        <w:rPr>
          <w:rFonts w:hint="eastAsia" w:ascii="Times New Roman" w:hAnsi="Times New Roman" w:cs="Times New Roman"/>
          <w:sz w:val="32"/>
          <w:szCs w:val="32"/>
        </w:rPr>
        <w:t>中央财政、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地方</w:t>
      </w:r>
      <w:r>
        <w:rPr>
          <w:rFonts w:hint="eastAsia" w:ascii="Times New Roman" w:hAnsi="Times New Roman" w:cs="Times New Roman"/>
          <w:sz w:val="32"/>
          <w:szCs w:val="32"/>
        </w:rPr>
        <w:t>财政配套资金年度指标计划全部到位，资金到位率100%。</w:t>
      </w:r>
    </w:p>
    <w:p>
      <w:pPr>
        <w:spacing w:line="576" w:lineRule="exact"/>
        <w:ind w:firstLine="640" w:firstLineChars="200"/>
        <w:rPr>
          <w:rFonts w:hint="eastAsia" w:ascii="Times New Roman" w:hAnsi="Times New Roman" w:cs="Times New Roman"/>
          <w:sz w:val="32"/>
          <w:szCs w:val="32"/>
        </w:rPr>
      </w:pPr>
      <w:r>
        <w:rPr>
          <w:rFonts w:hint="eastAsia" w:ascii="Times New Roman" w:hAnsi="Times New Roman" w:cs="Times New Roman"/>
          <w:sz w:val="32"/>
          <w:szCs w:val="32"/>
        </w:rPr>
        <w:t>⑶项目管理制度健全性、执行有效性，分值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cs="Times New Roman"/>
          <w:sz w:val="32"/>
          <w:szCs w:val="32"/>
        </w:rPr>
        <w:t>分，得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cs="Times New Roman"/>
          <w:sz w:val="32"/>
          <w:szCs w:val="32"/>
        </w:rPr>
        <w:t>分。</w:t>
      </w:r>
    </w:p>
    <w:p>
      <w:pPr>
        <w:spacing w:line="576" w:lineRule="exact"/>
        <w:ind w:firstLine="640" w:firstLineChars="200"/>
        <w:rPr>
          <w:rFonts w:hint="eastAsia" w:ascii="Times New Roman" w:hAnsi="Times New Roman" w:cs="Times New Roman"/>
          <w:sz w:val="32"/>
          <w:szCs w:val="32"/>
        </w:rPr>
      </w:pPr>
      <w:r>
        <w:rPr>
          <w:rFonts w:hint="eastAsia" w:ascii="Times New Roman" w:hAnsi="Times New Roman" w:cs="Times New Roman"/>
          <w:sz w:val="32"/>
          <w:szCs w:val="32"/>
        </w:rPr>
        <w:t>该项目实施过程中分工明确，由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六安市叶集区</w:t>
      </w:r>
      <w:r>
        <w:rPr>
          <w:rFonts w:hint="eastAsia" w:ascii="Times New Roman" w:hAnsi="Times New Roman" w:cs="Times New Roman"/>
          <w:sz w:val="32"/>
          <w:szCs w:val="32"/>
        </w:rPr>
        <w:t>消防救援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大</w:t>
      </w:r>
      <w:r>
        <w:rPr>
          <w:rFonts w:hint="eastAsia" w:ascii="Times New Roman" w:hAnsi="Times New Roman" w:cs="Times New Roman"/>
          <w:sz w:val="32"/>
          <w:szCs w:val="32"/>
        </w:rPr>
        <w:t>队负责项目建设管理，及项目建设进度的跟进。该项目严格按照招标程序确定中标单位，并签订了合同。项目实施过程中的招标文件、中标通知书、合同等相关资料齐全并及时归档。该指标得满分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cs="Times New Roman"/>
          <w:sz w:val="32"/>
          <w:szCs w:val="32"/>
        </w:rPr>
        <w:t>分。</w:t>
      </w:r>
    </w:p>
    <w:p>
      <w:pPr>
        <w:spacing w:line="576" w:lineRule="exact"/>
        <w:ind w:firstLine="640" w:firstLineChars="200"/>
        <w:rPr>
          <w:rFonts w:hint="eastAsia" w:ascii="Times New Roman" w:hAnsi="Times New Roman" w:cs="Times New Roman"/>
          <w:sz w:val="32"/>
          <w:szCs w:val="32"/>
        </w:rPr>
      </w:pPr>
      <w:r>
        <w:rPr>
          <w:rFonts w:hint="eastAsia" w:ascii="Times New Roman" w:hAnsi="Times New Roman" w:cs="Times New Roman"/>
          <w:sz w:val="32"/>
          <w:szCs w:val="32"/>
        </w:rPr>
        <w:t>⑷财务制度健全性、监控的有效性，分值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cs="Times New Roman"/>
          <w:sz w:val="32"/>
          <w:szCs w:val="32"/>
        </w:rPr>
        <w:t>分，得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cs="Times New Roman"/>
          <w:sz w:val="32"/>
          <w:szCs w:val="32"/>
        </w:rPr>
        <w:t>分。</w:t>
      </w:r>
    </w:p>
    <w:p>
      <w:pPr>
        <w:spacing w:line="576" w:lineRule="exact"/>
        <w:ind w:firstLine="640" w:firstLineChars="200"/>
        <w:rPr>
          <w:rFonts w:hint="eastAsia" w:ascii="Times New Roman" w:hAnsi="Times New Roman" w:cs="Times New Roman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sz w:val="32"/>
          <w:szCs w:val="32"/>
        </w:rPr>
        <w:t>市消防救援支队制定有《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六安市</w:t>
      </w:r>
      <w:r>
        <w:rPr>
          <w:rFonts w:hint="eastAsia" w:ascii="Times New Roman" w:hAnsi="Times New Roman" w:cs="Times New Roman"/>
          <w:sz w:val="32"/>
          <w:szCs w:val="32"/>
        </w:rPr>
        <w:t>消防救援队伍经费资产审批管理规定》，该制度中对预算管理、支出管理做了详细的规定，对资金支出有完整的审批流程，该制度有效规范预算管理、资金支出等。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六安市叶集区</w:t>
      </w:r>
      <w:r>
        <w:rPr>
          <w:rFonts w:hint="eastAsia" w:ascii="Times New Roman" w:hAnsi="Times New Roman" w:cs="Times New Roman"/>
          <w:sz w:val="32"/>
          <w:szCs w:val="32"/>
        </w:rPr>
        <w:t>消防救援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大</w:t>
      </w:r>
      <w:r>
        <w:rPr>
          <w:rFonts w:hint="eastAsia" w:ascii="Times New Roman" w:hAnsi="Times New Roman" w:cs="Times New Roman"/>
          <w:sz w:val="32"/>
          <w:szCs w:val="32"/>
        </w:rPr>
        <w:t>队财务管理制度健全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。</w:t>
      </w:r>
    </w:p>
    <w:p>
      <w:pPr>
        <w:spacing w:line="576" w:lineRule="exact"/>
        <w:ind w:firstLine="640" w:firstLineChars="200"/>
        <w:rPr>
          <w:rFonts w:hint="eastAsia" w:ascii="Times New Roman" w:hAnsi="Times New Roman" w:cs="Times New Roman"/>
          <w:sz w:val="32"/>
          <w:szCs w:val="32"/>
        </w:rPr>
      </w:pPr>
      <w:r>
        <w:rPr>
          <w:rFonts w:hint="eastAsia" w:ascii="Times New Roman" w:hAnsi="Times New Roman" w:cs="Times New Roman"/>
          <w:sz w:val="32"/>
          <w:szCs w:val="32"/>
        </w:rPr>
        <w:t>⑸资金使用合规性，分值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cs="Times New Roman"/>
          <w:sz w:val="32"/>
          <w:szCs w:val="32"/>
        </w:rPr>
        <w:t>分，得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cs="Times New Roman"/>
          <w:sz w:val="32"/>
          <w:szCs w:val="32"/>
        </w:rPr>
        <w:t>分。</w:t>
      </w:r>
    </w:p>
    <w:p>
      <w:pPr>
        <w:spacing w:line="576" w:lineRule="exact"/>
        <w:ind w:firstLine="640" w:firstLineChars="200"/>
        <w:rPr>
          <w:rFonts w:hint="eastAsia" w:ascii="Times New Roman" w:hAnsi="Times New Roman" w:cs="Times New Roman"/>
          <w:sz w:val="32"/>
          <w:szCs w:val="32"/>
        </w:rPr>
      </w:pPr>
      <w:r>
        <w:rPr>
          <w:rFonts w:hint="eastAsia" w:ascii="Times New Roman" w:hAnsi="Times New Roman" w:cs="Times New Roman"/>
          <w:sz w:val="32"/>
          <w:szCs w:val="32"/>
        </w:rPr>
        <w:t>通过检查相关会计资料，项目实际支出与项目计划投入资金用途相符，符合《中华人民共和国会计法》和《行政单位会计制度》的规定，资金拨付审批程序和手续完整，符合项目预算批复规定的用途，做到了资金专款专用。</w:t>
      </w:r>
    </w:p>
    <w:p>
      <w:pPr>
        <w:spacing w:line="576" w:lineRule="exact"/>
        <w:ind w:firstLine="640" w:firstLineChars="200"/>
        <w:rPr>
          <w:rFonts w:hint="eastAsia" w:ascii="Times New Roman" w:hAnsi="Times New Roman" w:cs="Times New Roman"/>
          <w:sz w:val="32"/>
          <w:szCs w:val="32"/>
        </w:rPr>
      </w:pPr>
      <w:r>
        <w:rPr>
          <w:rFonts w:hint="eastAsia" w:ascii="Times New Roman" w:hAnsi="Times New Roman" w:cs="Times New Roman"/>
          <w:sz w:val="32"/>
          <w:szCs w:val="32"/>
        </w:rPr>
        <w:t>2．产出指标。分值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40</w:t>
      </w:r>
      <w:r>
        <w:rPr>
          <w:rFonts w:hint="eastAsia" w:ascii="Times New Roman" w:hAnsi="Times New Roman" w:cs="Times New Roman"/>
          <w:sz w:val="32"/>
          <w:szCs w:val="32"/>
        </w:rPr>
        <w:t>分，得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40</w:t>
      </w:r>
      <w:r>
        <w:rPr>
          <w:rFonts w:hint="eastAsia" w:ascii="Times New Roman" w:hAnsi="Times New Roman" w:cs="Times New Roman"/>
          <w:sz w:val="32"/>
          <w:szCs w:val="32"/>
        </w:rPr>
        <w:t>分。</w:t>
      </w:r>
    </w:p>
    <w:p>
      <w:pPr>
        <w:spacing w:line="576" w:lineRule="exact"/>
        <w:ind w:firstLine="640" w:firstLineChars="200"/>
        <w:rPr>
          <w:rFonts w:hint="eastAsia" w:ascii="Times New Roman" w:hAnsi="Times New Roman" w:cs="Times New Roman"/>
          <w:sz w:val="32"/>
          <w:szCs w:val="32"/>
        </w:rPr>
      </w:pPr>
      <w:r>
        <w:rPr>
          <w:rFonts w:hint="eastAsia" w:ascii="Times New Roman" w:hAnsi="Times New Roman" w:cs="Times New Roman"/>
          <w:sz w:val="32"/>
          <w:szCs w:val="32"/>
        </w:rPr>
        <w:t>⑴数量指标，分值10分，得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cs="Times New Roman"/>
          <w:sz w:val="32"/>
          <w:szCs w:val="32"/>
        </w:rPr>
        <w:t>分。</w:t>
      </w:r>
    </w:p>
    <w:p>
      <w:pPr>
        <w:spacing w:line="576" w:lineRule="exact"/>
        <w:ind w:firstLine="640" w:firstLineChars="20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根据年初制定的工作计划和预算编制计划，我大队完成了年初制定的工作目标，完成了全区机关、团体、企事业单位的防火监督、开业前消防检查，消防知识普及、消防业务培训、灭火救援等</w:t>
      </w:r>
    </w:p>
    <w:p>
      <w:pPr>
        <w:spacing w:line="576" w:lineRule="exact"/>
        <w:ind w:firstLine="640" w:firstLineChars="200"/>
        <w:rPr>
          <w:rFonts w:hint="eastAsia" w:ascii="Times New Roman" w:hAnsi="Times New Roman" w:cs="Times New Roman"/>
          <w:sz w:val="32"/>
          <w:szCs w:val="32"/>
        </w:rPr>
      </w:pPr>
      <w:r>
        <w:rPr>
          <w:rFonts w:hint="eastAsia" w:ascii="Times New Roman" w:hAnsi="Times New Roman" w:cs="Times New Roman"/>
          <w:sz w:val="32"/>
          <w:szCs w:val="32"/>
        </w:rPr>
        <w:t>质量指标，分值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cs="Times New Roman"/>
          <w:sz w:val="32"/>
          <w:szCs w:val="32"/>
        </w:rPr>
        <w:t>分，得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cs="Times New Roman"/>
          <w:sz w:val="32"/>
          <w:szCs w:val="32"/>
        </w:rPr>
        <w:t>分。</w:t>
      </w:r>
    </w:p>
    <w:p>
      <w:pPr>
        <w:spacing w:line="576" w:lineRule="exact"/>
        <w:ind w:firstLine="640" w:firstLineChars="20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今年以来，我大队以全面“构筑社会消防安全防火墙工程”为工作中心、以深入开展“五大”活动为工作方法，以“清剿火患”战役为基本出发点，以提高执法队伍整体工作水平为工作基础，全面排查整治隐患，努力提高单位“四个能力”，不断夯实农村、社区“四个基础”，充分发挥了监督制约机制作用，努力实现消防执法标准化、服务型、说理式“三模式”，消防执法质量得到了进一步的提升，系个别工作完成效率不高，消防业务工作仍需进一步提高工作效率。</w:t>
      </w:r>
    </w:p>
    <w:p>
      <w:pPr>
        <w:spacing w:line="576" w:lineRule="exact"/>
        <w:ind w:firstLine="640" w:firstLineChars="200"/>
        <w:rPr>
          <w:rFonts w:hint="eastAsia" w:ascii="Times New Roman" w:hAnsi="Times New Roman" w:cs="Times New Roman"/>
          <w:sz w:val="32"/>
          <w:szCs w:val="32"/>
        </w:rPr>
      </w:pPr>
      <w:r>
        <w:rPr>
          <w:rFonts w:hint="eastAsia" w:ascii="Times New Roman" w:hAnsi="Times New Roman" w:cs="Times New Roman"/>
          <w:sz w:val="32"/>
          <w:szCs w:val="32"/>
        </w:rPr>
        <w:t>时效指标，分值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cs="Times New Roman"/>
          <w:sz w:val="32"/>
          <w:szCs w:val="32"/>
        </w:rPr>
        <w:t>分，得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cs="Times New Roman"/>
          <w:sz w:val="32"/>
          <w:szCs w:val="32"/>
        </w:rPr>
        <w:t>分。</w:t>
      </w:r>
    </w:p>
    <w:p>
      <w:pPr>
        <w:spacing w:line="576" w:lineRule="exact"/>
        <w:ind w:firstLine="640" w:firstLineChars="200"/>
        <w:rPr>
          <w:rFonts w:hint="eastAsia" w:ascii="Times New Roman" w:hAnsi="Times New Roman" w:cs="Times New Roman"/>
          <w:sz w:val="32"/>
          <w:szCs w:val="32"/>
        </w:rPr>
      </w:pPr>
      <w:r>
        <w:rPr>
          <w:rFonts w:hint="eastAsia" w:ascii="Times New Roman" w:hAnsi="Times New Roman" w:cs="Times New Roman"/>
          <w:sz w:val="32"/>
          <w:szCs w:val="32"/>
        </w:rPr>
        <w:t xml:space="preserve"> 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叶集区消防救援大队实施2021年消防业务专项经费项目，为消防部队火灾防控和灭火救援提供移动信息保障，高效快速的处理火情，</w:t>
      </w:r>
      <w:r>
        <w:rPr>
          <w:rFonts w:hint="eastAsia" w:ascii="Times New Roman" w:hAnsi="Times New Roman" w:cs="Times New Roman"/>
          <w:sz w:val="32"/>
          <w:szCs w:val="32"/>
        </w:rPr>
        <w:t xml:space="preserve"> 2021年度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消防业务专项经费</w:t>
      </w:r>
      <w:r>
        <w:rPr>
          <w:rFonts w:hint="eastAsia" w:ascii="Times New Roman" w:hAnsi="Times New Roman" w:cs="Times New Roman"/>
          <w:sz w:val="32"/>
          <w:szCs w:val="32"/>
        </w:rPr>
        <w:t>能够按预算进度执行。分值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cs="Times New Roman"/>
          <w:sz w:val="32"/>
          <w:szCs w:val="32"/>
        </w:rPr>
        <w:t>分，得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cs="Times New Roman"/>
          <w:sz w:val="32"/>
          <w:szCs w:val="32"/>
        </w:rPr>
        <w:t>分。</w:t>
      </w:r>
    </w:p>
    <w:p>
      <w:pPr>
        <w:spacing w:line="576" w:lineRule="exact"/>
        <w:ind w:firstLine="640" w:firstLineChars="20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成本指标，分值10份，得10分</w:t>
      </w:r>
    </w:p>
    <w:p>
      <w:pPr>
        <w:spacing w:line="576" w:lineRule="exact"/>
        <w:ind w:firstLine="640" w:firstLineChars="200"/>
        <w:rPr>
          <w:rFonts w:hint="eastAsia" w:ascii="Times New Roman" w:hAnsi="Times New Roman" w:cs="Times New Roman"/>
          <w:sz w:val="32"/>
          <w:szCs w:val="32"/>
        </w:rPr>
      </w:pPr>
      <w:r>
        <w:rPr>
          <w:rFonts w:hint="eastAsia" w:ascii="Times New Roman" w:hAnsi="Times New Roman" w:cs="Times New Roman"/>
          <w:sz w:val="32"/>
          <w:szCs w:val="32"/>
        </w:rPr>
        <w:t>3．效益指标。分值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cs="Times New Roman"/>
          <w:sz w:val="32"/>
          <w:szCs w:val="32"/>
        </w:rPr>
        <w:t>分，得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cs="Times New Roman"/>
          <w:sz w:val="32"/>
          <w:szCs w:val="32"/>
        </w:rPr>
        <w:t>分。</w:t>
      </w:r>
    </w:p>
    <w:p>
      <w:pPr>
        <w:spacing w:line="576" w:lineRule="exact"/>
        <w:ind w:firstLine="640" w:firstLineChars="200"/>
        <w:rPr>
          <w:rFonts w:hint="eastAsia" w:ascii="Times New Roman" w:hAnsi="Times New Roman" w:cs="Times New Roman"/>
          <w:sz w:val="32"/>
          <w:szCs w:val="32"/>
        </w:rPr>
      </w:pPr>
      <w:r>
        <w:rPr>
          <w:rFonts w:hint="eastAsia" w:ascii="Times New Roman" w:hAnsi="Times New Roman" w:cs="Times New Roman"/>
          <w:sz w:val="32"/>
          <w:szCs w:val="32"/>
        </w:rPr>
        <w:t>⑴社会效益指标，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通过项目的实施，提高行业事故防范能力、推动安全生产信息化建设，队伍作战能力提升，有效减少人民生命财产安全损失，满足指战员训练和精神需求，稳定队伍建设，提高战斗力，项目持续发挥作用的期限，以上指标完成。</w:t>
      </w:r>
      <w:r>
        <w:rPr>
          <w:rFonts w:hint="eastAsia" w:ascii="Times New Roman" w:hAnsi="Times New Roman" w:cs="Times New Roman"/>
          <w:sz w:val="32"/>
          <w:szCs w:val="32"/>
        </w:rPr>
        <w:t>分值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cs="Times New Roman"/>
          <w:sz w:val="32"/>
          <w:szCs w:val="32"/>
        </w:rPr>
        <w:t>分，得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cs="Times New Roman"/>
          <w:sz w:val="32"/>
          <w:szCs w:val="32"/>
        </w:rPr>
        <w:t>分。</w:t>
      </w:r>
    </w:p>
    <w:p>
      <w:pPr>
        <w:spacing w:line="576" w:lineRule="exact"/>
        <w:ind w:firstLine="640" w:firstLineChars="200"/>
        <w:rPr>
          <w:rFonts w:hint="eastAsia" w:ascii="Times New Roman" w:hAnsi="Times New Roman" w:cs="Times New Roman"/>
          <w:sz w:val="32"/>
          <w:szCs w:val="32"/>
        </w:rPr>
      </w:pPr>
      <w:r>
        <w:rPr>
          <w:rFonts w:hint="eastAsia" w:ascii="Times New Roman" w:hAnsi="Times New Roman" w:cs="Times New Roman"/>
          <w:sz w:val="32"/>
          <w:szCs w:val="32"/>
        </w:rPr>
        <w:t>⑵可持续影响指标，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通过项目的实施，推进社会安全建设作用明显。</w:t>
      </w:r>
      <w:r>
        <w:rPr>
          <w:rFonts w:hint="eastAsia" w:ascii="Times New Roman" w:hAnsi="Times New Roman" w:cs="Times New Roman"/>
          <w:sz w:val="32"/>
          <w:szCs w:val="32"/>
        </w:rPr>
        <w:t>分值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cs="Times New Roman"/>
          <w:sz w:val="32"/>
          <w:szCs w:val="32"/>
        </w:rPr>
        <w:t>分，得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cs="Times New Roman"/>
          <w:sz w:val="32"/>
          <w:szCs w:val="32"/>
        </w:rPr>
        <w:t>分。</w:t>
      </w:r>
    </w:p>
    <w:p>
      <w:pPr>
        <w:spacing w:line="576" w:lineRule="exact"/>
        <w:ind w:firstLine="640" w:firstLineChars="200"/>
        <w:rPr>
          <w:rFonts w:hint="eastAsia" w:ascii="Times New Roman" w:hAnsi="Times New Roman" w:cs="Times New Roman"/>
          <w:sz w:val="32"/>
          <w:szCs w:val="32"/>
        </w:rPr>
      </w:pPr>
      <w:r>
        <w:rPr>
          <w:rFonts w:hint="eastAsia" w:ascii="Times New Roman" w:hAnsi="Times New Roman" w:cs="Times New Roman"/>
          <w:sz w:val="32"/>
          <w:szCs w:val="32"/>
        </w:rPr>
        <w:t>4.满意度指标。分值10分，得10分。</w:t>
      </w:r>
    </w:p>
    <w:p>
      <w:pPr>
        <w:spacing w:line="576" w:lineRule="exact"/>
        <w:ind w:firstLine="640" w:firstLineChars="200"/>
        <w:rPr>
          <w:rFonts w:hint="eastAsia" w:ascii="Times New Roman" w:hAnsi="Times New Roman" w:cs="Times New Roman"/>
          <w:sz w:val="32"/>
          <w:szCs w:val="32"/>
        </w:rPr>
      </w:pPr>
      <w:r>
        <w:rPr>
          <w:rFonts w:hint="eastAsia" w:ascii="Times New Roman" w:hAnsi="Times New Roman" w:cs="Times New Roman"/>
          <w:sz w:val="32"/>
          <w:szCs w:val="32"/>
        </w:rPr>
        <w:t>本次主要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通过</w:t>
      </w:r>
      <w:r>
        <w:rPr>
          <w:rFonts w:hint="eastAsia" w:ascii="Times New Roman" w:hAnsi="Times New Roman" w:cs="Times New Roman"/>
          <w:sz w:val="32"/>
          <w:szCs w:val="32"/>
        </w:rPr>
        <w:t>对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群众的走访和简单的询问了解，2021年群众认为安全感有了一定提升，</w:t>
      </w:r>
      <w:r>
        <w:rPr>
          <w:rFonts w:hint="eastAsia" w:ascii="Times New Roman" w:hAnsi="Times New Roman" w:cs="Times New Roman"/>
          <w:sz w:val="32"/>
          <w:szCs w:val="32"/>
        </w:rPr>
        <w:t>表示非常满意，满意率为100%。分值10分，得10分。</w:t>
      </w:r>
    </w:p>
    <w:p>
      <w:pPr>
        <w:spacing w:line="576" w:lineRule="exact"/>
        <w:ind w:firstLine="640" w:firstLineChars="200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五、主要经验及做法</w:t>
      </w:r>
    </w:p>
    <w:p>
      <w:pPr>
        <w:spacing w:line="576" w:lineRule="exact"/>
        <w:ind w:firstLine="640" w:firstLineChars="200"/>
        <w:rPr>
          <w:rFonts w:hint="eastAsia" w:ascii="Times New Roman" w:hAnsi="Times New Roman" w:cs="Times New Roman"/>
          <w:sz w:val="32"/>
          <w:szCs w:val="32"/>
        </w:rPr>
      </w:pP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（一）</w:t>
      </w:r>
      <w:r>
        <w:rPr>
          <w:rFonts w:hint="eastAsia" w:ascii="Times New Roman" w:hAnsi="Times New Roman" w:cs="Times New Roman"/>
          <w:sz w:val="32"/>
          <w:szCs w:val="32"/>
        </w:rPr>
        <w:t>消防救援大队严格落实党委统一的集体领导下的着长分工负责制，完善党委各项组织生活制度，严格按照民主集中制议事决策，充分发挥了“一班人“的作用。配齐配强了两级班。规范了各队站和政府专职队的党团组织建设，党团组织健全率达100% 。</w:t>
      </w:r>
    </w:p>
    <w:p>
      <w:pPr>
        <w:spacing w:line="576" w:lineRule="exact"/>
        <w:ind w:firstLine="640" w:firstLineChars="200"/>
        <w:rPr>
          <w:rFonts w:hint="eastAsia" w:ascii="Times New Roman" w:hAnsi="Times New Roman" w:cs="Times New Roman"/>
          <w:sz w:val="32"/>
          <w:szCs w:val="32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cs="Times New Roman"/>
          <w:sz w:val="32"/>
          <w:szCs w:val="32"/>
        </w:rPr>
        <w:t>严格规范化管理队伍。建立正规秩序，规范大队一日生活制度，量化管理消防员的工作生活，每周公布，一月一评比；跟踪管，及时掌握指战员的思想变化规律。狠抓安全工作，每月开展安全形势分析会，以“人、车、酒”为重点，实行全时段、全空间、全方位的管理。</w:t>
      </w:r>
    </w:p>
    <w:p>
      <w:pPr>
        <w:spacing w:line="576" w:lineRule="exact"/>
        <w:ind w:firstLine="640" w:firstLineChars="200"/>
        <w:rPr>
          <w:rFonts w:hint="eastAsia" w:ascii="Times New Roman" w:hAnsi="Times New Roman" w:cs="Times New Roman"/>
          <w:sz w:val="32"/>
          <w:szCs w:val="32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cs="Times New Roman"/>
          <w:sz w:val="32"/>
          <w:szCs w:val="32"/>
        </w:rPr>
        <w:t>牢记宗旨，塑造为民服务的新形象。围绕打造“亲民消防”，“法制消防”，以构建“平安高安”为目标，窗口服务实行“全天候、全方位、零距离”的服务模式，从受理、审批、办结一站式服务，缩短办结时限，为老百姓提供便利。</w:t>
      </w:r>
    </w:p>
    <w:p>
      <w:pPr>
        <w:spacing w:line="576" w:lineRule="exact"/>
        <w:ind w:firstLine="640" w:firstLineChars="200"/>
        <w:rPr>
          <w:rFonts w:hint="eastAsia" w:ascii="Times New Roman" w:hAnsi="Times New Roman" w:cs="Times New Roman"/>
          <w:sz w:val="32"/>
          <w:szCs w:val="32"/>
        </w:rPr>
      </w:pPr>
    </w:p>
    <w:p>
      <w:pPr>
        <w:numPr>
          <w:ilvl w:val="0"/>
          <w:numId w:val="3"/>
        </w:numPr>
        <w:spacing w:line="576" w:lineRule="exact"/>
        <w:ind w:firstLine="640" w:firstLineChars="200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存在问题及原因分析</w:t>
      </w:r>
    </w:p>
    <w:p>
      <w:pPr>
        <w:spacing w:line="576" w:lineRule="exact"/>
        <w:ind w:firstLine="640" w:firstLineChars="200"/>
        <w:rPr>
          <w:rFonts w:hint="eastAsia" w:ascii="Times New Roman" w:hAnsi="Times New Roman" w:cs="Times New Roman"/>
          <w:sz w:val="32"/>
          <w:szCs w:val="32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一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cs="Times New Roman"/>
          <w:sz w:val="32"/>
          <w:szCs w:val="32"/>
        </w:rPr>
        <w:t>消防安全责任要进一步加强。部分行业部门对责任范围内的消防安全工作认识不到位，没有发挥本职能部门消防安全管理的主观能动性，一些排查整治行动仍有盲区。</w:t>
      </w:r>
    </w:p>
    <w:p>
      <w:pPr>
        <w:spacing w:line="576" w:lineRule="exact"/>
        <w:ind w:firstLine="640" w:firstLineChars="200"/>
        <w:rPr>
          <w:rFonts w:hint="eastAsia" w:ascii="Times New Roman" w:hAnsi="Times New Roman" w:cs="Times New Roman"/>
          <w:sz w:val="32"/>
          <w:szCs w:val="32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cs="Times New Roman"/>
          <w:sz w:val="32"/>
          <w:szCs w:val="32"/>
        </w:rPr>
        <w:t>随着消防应急救援队伍的转型改制，全市消防救援队伍现有的队站布点、车辆装备，应急物资保障及培训基地建设还无法满足消防体制革后的“全灾种、大应急”的处置需要。</w:t>
      </w:r>
    </w:p>
    <w:p>
      <w:pPr>
        <w:spacing w:line="576" w:lineRule="exact"/>
        <w:ind w:firstLine="640" w:firstLineChars="200"/>
        <w:rPr>
          <w:rFonts w:hint="eastAsia" w:ascii="Times New Roman" w:hAnsi="Times New Roman" w:cs="Times New Roman"/>
          <w:sz w:val="32"/>
          <w:szCs w:val="32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cs="Times New Roman"/>
          <w:sz w:val="32"/>
          <w:szCs w:val="32"/>
        </w:rPr>
        <w:t>群众消防安全常识普及率有待进一步提高。部分群从对消防安全重视程度不够，消防安全意识不强，缺乏火灾中基本的逃生自救技能。</w:t>
      </w:r>
    </w:p>
    <w:p>
      <w:pPr>
        <w:spacing w:line="576" w:lineRule="exact"/>
        <w:ind w:firstLine="640" w:firstLineChars="200"/>
        <w:rPr>
          <w:rFonts w:hint="eastAsia" w:ascii="Times New Roman" w:hAnsi="Times New Roman" w:cs="Times New Roman"/>
          <w:sz w:val="32"/>
          <w:szCs w:val="32"/>
        </w:rPr>
      </w:pPr>
    </w:p>
    <w:p>
      <w:pPr>
        <w:spacing w:line="576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七、有关建议</w:t>
      </w:r>
    </w:p>
    <w:p>
      <w:pPr>
        <w:spacing w:line="576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主要针对项目存在的问题，着眼于项目的总体目标，从项目政策、部门管理、项目管理、预算管理等多个角度，提出加强和改进管理的意见建议。</w:t>
      </w:r>
    </w:p>
    <w:p>
      <w:pPr>
        <w:pStyle w:val="2"/>
        <w:rPr>
          <w:rFonts w:hint="eastAsia"/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</w:p>
    <w:p>
      <w:pPr>
        <w:ind w:firstLine="5120" w:firstLineChars="16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叶集区消防救援大队</w:t>
      </w:r>
    </w:p>
    <w:p>
      <w:pPr>
        <w:ind w:firstLine="5440" w:firstLineChars="1700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2023年8月21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日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</w:p>
    <w:tbl>
      <w:tblPr>
        <w:tblStyle w:val="4"/>
        <w:tblpPr w:leftFromText="180" w:rightFromText="180" w:vertAnchor="text" w:horzAnchor="page" w:tblpX="1780" w:tblpY="-8971"/>
        <w:tblOverlap w:val="never"/>
        <w:tblW w:w="86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2080"/>
        <w:gridCol w:w="3640"/>
        <w:gridCol w:w="1000"/>
        <w:gridCol w:w="10"/>
        <w:gridCol w:w="8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620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4"/>
                <w:szCs w:val="24"/>
              </w:rPr>
              <w:t>202</w:t>
            </w: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4"/>
                <w:szCs w:val="24"/>
                <w:lang w:val="en-US" w:eastAsia="zh-CN"/>
              </w:rPr>
              <w:t>消防保障专项经费</w:t>
            </w: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4"/>
                <w:szCs w:val="24"/>
              </w:rPr>
              <w:t>项目绩效评价指标评分表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20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3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</w:rPr>
              <w:t>指标分值</w:t>
            </w:r>
          </w:p>
        </w:tc>
        <w:tc>
          <w:tcPr>
            <w:tcW w:w="9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00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</w:rPr>
              <w:t>投入和管理指标</w:t>
            </w:r>
          </w:p>
        </w:tc>
        <w:tc>
          <w:tcPr>
            <w:tcW w:w="20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</w:rPr>
              <w:t>预算执行率</w:t>
            </w:r>
          </w:p>
        </w:tc>
        <w:tc>
          <w:tcPr>
            <w:tcW w:w="3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</w:rPr>
              <w:t>实际发放金额÷年度总</w:t>
            </w: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lang w:val="en-US" w:eastAsia="zh-CN"/>
              </w:rPr>
              <w:t>金</w:t>
            </w: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</w:rPr>
              <w:t>额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9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0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kern w:val="0"/>
                <w:sz w:val="20"/>
                <w:szCs w:val="20"/>
              </w:rPr>
            </w:pPr>
          </w:p>
        </w:tc>
        <w:tc>
          <w:tcPr>
            <w:tcW w:w="20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</w:rPr>
              <w:t>资金到位率</w:t>
            </w:r>
          </w:p>
        </w:tc>
        <w:tc>
          <w:tcPr>
            <w:tcW w:w="3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</w:rPr>
              <w:t>实际到位预算资金÷计划投入资金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9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100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kern w:val="0"/>
                <w:sz w:val="20"/>
                <w:szCs w:val="20"/>
              </w:rPr>
            </w:pPr>
          </w:p>
        </w:tc>
        <w:tc>
          <w:tcPr>
            <w:tcW w:w="20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</w:rPr>
              <w:t>项目管理制度健全性、执行有效性</w:t>
            </w:r>
          </w:p>
        </w:tc>
        <w:tc>
          <w:tcPr>
            <w:tcW w:w="3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</w:rPr>
              <w:t>相关管理制度是否能规范项目相关管理程序的执行；项目是否履行了相关管理程序。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9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0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kern w:val="0"/>
                <w:sz w:val="20"/>
                <w:szCs w:val="20"/>
              </w:rPr>
            </w:pPr>
          </w:p>
        </w:tc>
        <w:tc>
          <w:tcPr>
            <w:tcW w:w="20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</w:rPr>
              <w:t>财务制度健全性、监控的有效性</w:t>
            </w:r>
          </w:p>
        </w:tc>
        <w:tc>
          <w:tcPr>
            <w:tcW w:w="3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项目财务制度是否健全、完善、有效；是否采取了必要监控、管理措施。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9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0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kern w:val="0"/>
                <w:sz w:val="20"/>
                <w:szCs w:val="20"/>
              </w:rPr>
            </w:pPr>
          </w:p>
        </w:tc>
        <w:tc>
          <w:tcPr>
            <w:tcW w:w="2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0"/>
                <w:szCs w:val="20"/>
              </w:rPr>
              <w:t>资金使用合规性</w:t>
            </w:r>
          </w:p>
        </w:tc>
        <w:tc>
          <w:tcPr>
            <w:tcW w:w="3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</w:rPr>
              <w:t>项目资金的使用是否符合相关法律法规、制度和规定。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9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</w:rPr>
              <w:t>1</w:t>
            </w:r>
            <w:r>
              <w:rPr>
                <w:rFonts w:hint="eastAsia" w:ascii="仿宋" w:hAnsi="仿宋" w:eastAsia="仿宋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" w:hRule="atLeast"/>
        </w:trPr>
        <w:tc>
          <w:tcPr>
            <w:tcW w:w="1000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20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3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lang w:val="en-US" w:eastAsia="zh-CN"/>
              </w:rPr>
              <w:t>消防业务培训次数、灭火救援次数、消防安全检查次数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900" w:type="dxa"/>
            <w:gridSpan w:val="2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0" w:hRule="atLeast"/>
        </w:trPr>
        <w:tc>
          <w:tcPr>
            <w:tcW w:w="100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20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b w:val="0"/>
                <w:bCs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3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lang w:eastAsia="zh-CN"/>
              </w:rPr>
              <w:t>消防业务完成率</w:t>
            </w:r>
          </w:p>
        </w:tc>
        <w:tc>
          <w:tcPr>
            <w:tcW w:w="1010" w:type="dxa"/>
            <w:gridSpan w:val="2"/>
            <w:tcBorders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Times New Roman"/>
                <w:strike w:val="0"/>
                <w:dstrike w:val="0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trike w:val="0"/>
                <w:dstrike w:val="0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90" w:type="dxa"/>
            <w:tcBorders>
              <w:lef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Times New Roman"/>
                <w:strike w:val="0"/>
                <w:dstrike w:val="0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trike w:val="0"/>
                <w:dstrike w:val="0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0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20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3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lang w:val="en-US" w:eastAsia="zh-CN"/>
              </w:rPr>
              <w:t>任务完成时效</w:t>
            </w:r>
          </w:p>
        </w:tc>
        <w:tc>
          <w:tcPr>
            <w:tcW w:w="1010" w:type="dxa"/>
            <w:gridSpan w:val="2"/>
            <w:tcBorders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90" w:type="dxa"/>
            <w:tcBorders>
              <w:lef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0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20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3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ind w:firstLine="1400" w:firstLineChars="700"/>
              <w:jc w:val="both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lang w:val="en-US" w:eastAsia="zh-CN"/>
              </w:rPr>
              <w:t>43人*6万</w:t>
            </w:r>
          </w:p>
        </w:tc>
        <w:tc>
          <w:tcPr>
            <w:tcW w:w="1000" w:type="dxa"/>
            <w:tcBorders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900" w:type="dxa"/>
            <w:gridSpan w:val="2"/>
            <w:tcBorders>
              <w:lef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1000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20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3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lang w:eastAsia="zh-CN"/>
              </w:rPr>
              <w:t>挽救群众生命财产，提升群众安全感、幸福感</w:t>
            </w:r>
          </w:p>
        </w:tc>
        <w:tc>
          <w:tcPr>
            <w:tcW w:w="1010" w:type="dxa"/>
            <w:gridSpan w:val="2"/>
            <w:tcBorders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90" w:type="dxa"/>
            <w:tcBorders>
              <w:lef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</w:trPr>
        <w:tc>
          <w:tcPr>
            <w:tcW w:w="100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20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3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lang w:val="en-US" w:eastAsia="zh-CN"/>
              </w:rPr>
              <w:t>消防业务影响力</w:t>
            </w:r>
          </w:p>
        </w:tc>
        <w:tc>
          <w:tcPr>
            <w:tcW w:w="1010" w:type="dxa"/>
            <w:gridSpan w:val="2"/>
            <w:tcBorders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90" w:type="dxa"/>
            <w:tcBorders>
              <w:lef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4" w:hRule="atLeast"/>
        </w:trPr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0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3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lang w:val="en-US" w:eastAsia="zh-CN"/>
              </w:rPr>
              <w:t>群众满意度</w:t>
            </w:r>
          </w:p>
        </w:tc>
        <w:tc>
          <w:tcPr>
            <w:tcW w:w="1010" w:type="dxa"/>
            <w:gridSpan w:val="2"/>
            <w:tcBorders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90" w:type="dxa"/>
            <w:tcBorders>
              <w:lef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080" w:type="dxa"/>
            <w:gridSpan w:val="2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0"/>
                <w:szCs w:val="20"/>
              </w:rPr>
              <w:t>合    计</w:t>
            </w:r>
          </w:p>
        </w:tc>
        <w:tc>
          <w:tcPr>
            <w:tcW w:w="36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900" w:type="dxa"/>
            <w:gridSpan w:val="2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0"/>
                <w:szCs w:val="20"/>
                <w:lang w:val="en-US" w:eastAsia="zh-CN"/>
              </w:rPr>
              <w:t>97</w:t>
            </w:r>
          </w:p>
        </w:tc>
      </w:tr>
    </w:tbl>
    <w:p/>
    <w:sectPr>
      <w:footerReference r:id="rId3" w:type="default"/>
      <w:footerReference r:id="rId4" w:type="even"/>
      <w:pgSz w:w="11906" w:h="16838"/>
      <w:pgMar w:top="2098" w:right="1531" w:bottom="1985" w:left="1531" w:header="851" w:footer="1361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left="315" w:leftChars="150" w:right="315" w:rightChars="150"/>
      <w:jc w:val="right"/>
      <w:rPr>
        <w:sz w:val="28"/>
        <w:szCs w:val="28"/>
      </w:rPr>
    </w:pPr>
    <w:r>
      <w:rPr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3</w:t>
    </w:r>
    <w:r>
      <w:rPr>
        <w:sz w:val="28"/>
        <w:szCs w:val="28"/>
      </w:rPr>
      <w:fldChar w:fldCharType="end"/>
    </w:r>
    <w:r>
      <w:rPr>
        <w:rFonts w:hint="eastAsia"/>
        <w:sz w:val="28"/>
        <w:szCs w:val="28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left="315" w:leftChars="150" w:right="315" w:rightChars="150"/>
      <w:rPr>
        <w:sz w:val="28"/>
        <w:szCs w:val="28"/>
      </w:rPr>
    </w:pPr>
    <w:r>
      <w:rPr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4</w:t>
    </w:r>
    <w:r>
      <w:rPr>
        <w:sz w:val="28"/>
        <w:szCs w:val="28"/>
      </w:rPr>
      <w:fldChar w:fldCharType="end"/>
    </w:r>
    <w:r>
      <w:rPr>
        <w:rFonts w:hint="eastAsia"/>
        <w:sz w:val="28"/>
        <w:szCs w:val="28"/>
      </w:rPr>
      <w:t xml:space="preserve"> —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E946BF"/>
    <w:multiLevelType w:val="singleLevel"/>
    <w:tmpl w:val="C9E946BF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5D2FD7E"/>
    <w:multiLevelType w:val="singleLevel"/>
    <w:tmpl w:val="D5D2FD7E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46383AEF"/>
    <w:multiLevelType w:val="singleLevel"/>
    <w:tmpl w:val="46383AE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NhNmVlZTUzN2U3ZmQ1OTcyZWU1YzAyZmI5YmJmZDMifQ=="/>
  </w:docVars>
  <w:rsids>
    <w:rsidRoot w:val="705F7FAB"/>
    <w:rsid w:val="01182A1E"/>
    <w:rsid w:val="01C81F50"/>
    <w:rsid w:val="03A32C74"/>
    <w:rsid w:val="067508F8"/>
    <w:rsid w:val="08163A15"/>
    <w:rsid w:val="082223BA"/>
    <w:rsid w:val="0AEE0C79"/>
    <w:rsid w:val="0B64718D"/>
    <w:rsid w:val="0BC8771C"/>
    <w:rsid w:val="0BDB744F"/>
    <w:rsid w:val="0DBF68FD"/>
    <w:rsid w:val="0ED84F5E"/>
    <w:rsid w:val="116C0B49"/>
    <w:rsid w:val="12217B86"/>
    <w:rsid w:val="12536A4E"/>
    <w:rsid w:val="150A4645"/>
    <w:rsid w:val="15597637"/>
    <w:rsid w:val="1606156C"/>
    <w:rsid w:val="17C90AA4"/>
    <w:rsid w:val="192341E3"/>
    <w:rsid w:val="19A5109C"/>
    <w:rsid w:val="1A82037F"/>
    <w:rsid w:val="1AA67F19"/>
    <w:rsid w:val="1AC612CA"/>
    <w:rsid w:val="1C2838BF"/>
    <w:rsid w:val="1DA549FE"/>
    <w:rsid w:val="1DDB32DF"/>
    <w:rsid w:val="1F120F82"/>
    <w:rsid w:val="1F242A63"/>
    <w:rsid w:val="2157173E"/>
    <w:rsid w:val="224A458F"/>
    <w:rsid w:val="226F0499"/>
    <w:rsid w:val="24EA453A"/>
    <w:rsid w:val="25203CCD"/>
    <w:rsid w:val="25D7082F"/>
    <w:rsid w:val="2AEC6B2B"/>
    <w:rsid w:val="2B5736E3"/>
    <w:rsid w:val="32E72E3D"/>
    <w:rsid w:val="33D91C17"/>
    <w:rsid w:val="366003CD"/>
    <w:rsid w:val="368E3F2E"/>
    <w:rsid w:val="369938DF"/>
    <w:rsid w:val="375D75C4"/>
    <w:rsid w:val="37976071"/>
    <w:rsid w:val="38B27D59"/>
    <w:rsid w:val="3A06128C"/>
    <w:rsid w:val="3A3C2EFF"/>
    <w:rsid w:val="3B117EE8"/>
    <w:rsid w:val="3B4007CD"/>
    <w:rsid w:val="3C706E90"/>
    <w:rsid w:val="3D430101"/>
    <w:rsid w:val="3E243DBD"/>
    <w:rsid w:val="3FD55988"/>
    <w:rsid w:val="40441C78"/>
    <w:rsid w:val="41E420A6"/>
    <w:rsid w:val="42360234"/>
    <w:rsid w:val="48DB38E3"/>
    <w:rsid w:val="4B887D52"/>
    <w:rsid w:val="4CA02E7A"/>
    <w:rsid w:val="4D317F76"/>
    <w:rsid w:val="4DAB1AD6"/>
    <w:rsid w:val="4EE71234"/>
    <w:rsid w:val="50A8054F"/>
    <w:rsid w:val="50E84DEF"/>
    <w:rsid w:val="522956BF"/>
    <w:rsid w:val="52302EF2"/>
    <w:rsid w:val="54F26D2D"/>
    <w:rsid w:val="54F63F7F"/>
    <w:rsid w:val="55564491"/>
    <w:rsid w:val="557B4484"/>
    <w:rsid w:val="589F492D"/>
    <w:rsid w:val="58A65CBC"/>
    <w:rsid w:val="58D82B74"/>
    <w:rsid w:val="5A581238"/>
    <w:rsid w:val="5B743E4F"/>
    <w:rsid w:val="5B9242D5"/>
    <w:rsid w:val="5BD6044A"/>
    <w:rsid w:val="5BF8682E"/>
    <w:rsid w:val="5C950521"/>
    <w:rsid w:val="5D3A2E77"/>
    <w:rsid w:val="5DC7295C"/>
    <w:rsid w:val="60746D32"/>
    <w:rsid w:val="60E92BEA"/>
    <w:rsid w:val="618B1EF3"/>
    <w:rsid w:val="61E57855"/>
    <w:rsid w:val="62864468"/>
    <w:rsid w:val="62C76F5B"/>
    <w:rsid w:val="63B219B9"/>
    <w:rsid w:val="653004DD"/>
    <w:rsid w:val="67A55390"/>
    <w:rsid w:val="68C42CFD"/>
    <w:rsid w:val="6A3B2011"/>
    <w:rsid w:val="6A773014"/>
    <w:rsid w:val="6B39476E"/>
    <w:rsid w:val="6BAA11C7"/>
    <w:rsid w:val="6D5B6C1D"/>
    <w:rsid w:val="6D8F2D6B"/>
    <w:rsid w:val="6E364F94"/>
    <w:rsid w:val="6F915B8B"/>
    <w:rsid w:val="6FDE3B35"/>
    <w:rsid w:val="705F7FAB"/>
    <w:rsid w:val="71033854"/>
    <w:rsid w:val="72761B95"/>
    <w:rsid w:val="760D2A7F"/>
    <w:rsid w:val="77251CC1"/>
    <w:rsid w:val="77752FD1"/>
    <w:rsid w:val="799F066B"/>
    <w:rsid w:val="7AD647F1"/>
    <w:rsid w:val="7B2C39A7"/>
    <w:rsid w:val="7C9E6B26"/>
    <w:rsid w:val="7CA53A11"/>
    <w:rsid w:val="7CC12815"/>
    <w:rsid w:val="7D7358BD"/>
    <w:rsid w:val="7E1626EC"/>
    <w:rsid w:val="7E4E00D8"/>
    <w:rsid w:val="7FCA378E"/>
    <w:rsid w:val="7FD91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2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3985</Words>
  <Characters>4142</Characters>
  <Lines>0</Lines>
  <Paragraphs>0</Paragraphs>
  <TotalTime>2</TotalTime>
  <ScaleCrop>false</ScaleCrop>
  <LinksUpToDate>false</LinksUpToDate>
  <CharactersWithSpaces>4153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2023-03-23T08:32:00Z</dcterms:created>
  <dc:creator>仙女味的老污婆</dc:creator>
  <cp:lastModifiedBy>可可乐乐</cp:lastModifiedBy>
  <dcterms:modified xsi:type="dcterms:W3CDTF">2023-08-21T07:25:45Z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B8A965CBD8E4451490934FD893C118AA</vt:lpwstr>
  </property>
</Properties>
</file>