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</w:pPr>
      <w:bookmarkStart w:id="0" w:name="_GoBack"/>
      <w:bookmarkEnd w:id="0"/>
      <w:r>
        <w:rPr>
          <w:rFonts w:ascii="FZXiaoBiaoSong-B05" w:hAnsi="FZXiaoBiaoSong-B05" w:eastAsia="FZXiaoBiaoSong-B05" w:cs="FZXiaoBiaoSong-B05"/>
          <w:color w:val="000000"/>
          <w:kern w:val="0"/>
          <w:sz w:val="43"/>
          <w:szCs w:val="43"/>
          <w:lang w:val="en-US" w:eastAsia="zh-CN" w:bidi="ar"/>
        </w:rPr>
        <w:t>项目支出绩效评价报告</w:t>
      </w:r>
    </w:p>
    <w:p>
      <w:pPr>
        <w:keepNext w:val="0"/>
        <w:keepLines w:val="0"/>
        <w:widowControl/>
        <w:suppressLineNumbers w:val="0"/>
        <w:jc w:val="center"/>
        <w:rPr>
          <w:rFonts w:hint="default" w:ascii="FZXiaoBiaoSong-B05" w:hAnsi="FZXiaoBiaoSong-B05" w:eastAsia="FZXiaoBiaoSong-B05" w:cs="FZXiaoBiaoSong-B05"/>
          <w:color w:val="000000"/>
          <w:kern w:val="0"/>
          <w:sz w:val="43"/>
          <w:szCs w:val="43"/>
          <w:lang w:val="en-US" w:eastAsia="zh-CN" w:bidi="ar"/>
        </w:rPr>
      </w:pPr>
      <w:r>
        <w:rPr>
          <w:rFonts w:hint="default" w:ascii="FZXiaoBiaoSong-B05" w:hAnsi="FZXiaoBiaoSong-B05" w:eastAsia="FZXiaoBiaoSong-B05" w:cs="FZXiaoBiaoSong-B05"/>
          <w:color w:val="000000"/>
          <w:kern w:val="0"/>
          <w:sz w:val="43"/>
          <w:szCs w:val="43"/>
          <w:lang w:val="en-US" w:eastAsia="zh-CN" w:bidi="ar"/>
        </w:rPr>
        <w:t>商务工作经费项目支出绩效评价报告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FZXiaoBiaoSong-B05" w:hAnsi="FZXiaoBiaoSong-B05" w:eastAsia="FZXiaoBiaoSong-B05" w:cs="FZXiaoBiaoSong-B05"/>
          <w:color w:val="000000"/>
          <w:kern w:val="0"/>
          <w:sz w:val="43"/>
          <w:szCs w:val="43"/>
          <w:lang w:val="en-US" w:eastAsia="zh-CN" w:bidi="ar"/>
        </w:rPr>
        <w:t>摘 要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为贯彻执行中央、省、市关于商务工作的方针政策和决策部署，落实商务工作基本要求，叶集区商务局设立了商务工作经费项目。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商务工作经费项目总体目标为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全面统筹各项商务工作，全面完成政策制定参会参展、市场信用体系建设等管理任务。</w:t>
      </w:r>
      <w:r>
        <w:rPr>
          <w:rFonts w:hint="eastAsia" w:cs="Times New Roman"/>
          <w:sz w:val="32"/>
          <w:szCs w:val="32"/>
          <w:lang w:val="en-US" w:eastAsia="zh-CN"/>
        </w:rPr>
        <w:t>绩效目标总体完成情况较好，</w:t>
      </w:r>
      <w:r>
        <w:rPr>
          <w:rFonts w:hint="eastAsia" w:asci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项目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预算资金执行</w:t>
      </w:r>
      <w:r>
        <w:rPr>
          <w:rFonts w:hint="eastAsia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率为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82.4%</w:t>
      </w:r>
      <w:r>
        <w:rPr>
          <w:rFonts w:hint="eastAsia" w:asci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，综合评价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该项目绩效自评得分97.2分，评价等级为优秀。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/>
          <w:lang w:val="en-US" w:eastAsia="zh-CN"/>
        </w:rPr>
        <w:t>此次绩效评价表明商务工作经费项目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部分绩效目标设定的较为宽泛，未能贴合项目实际情况，可进一步优化。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对于此次自评中出现偏差的指标，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自查自纠偏差产生的原因，确保下年预算制定准确，契合单位实际工作需求需要。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/>
          <w:highlight w:val="none"/>
        </w:rPr>
      </w:pP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widowControl/>
        <w:suppressLineNumbers w:val="0"/>
        <w:jc w:val="center"/>
      </w:pPr>
      <w:r>
        <w:rPr>
          <w:rFonts w:hint="default" w:ascii="FZXiaoBiaoSong-B05" w:hAnsi="FZXiaoBiaoSong-B05" w:eastAsia="FZXiaoBiaoSong-B05" w:cs="FZXiaoBiaoSong-B05"/>
          <w:color w:val="000000"/>
          <w:kern w:val="0"/>
          <w:sz w:val="43"/>
          <w:szCs w:val="43"/>
          <w:lang w:val="en-US" w:eastAsia="zh-CN" w:bidi="ar"/>
        </w:rPr>
        <w:t>正文部分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项目基本情况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</w:rPr>
        <w:t>项目概况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/>
          <w:b/>
          <w:bCs/>
          <w:sz w:val="32"/>
          <w:szCs w:val="32"/>
          <w:lang w:val="en-US" w:eastAsia="zh-CN"/>
        </w:rPr>
        <w:t>项目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背景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为</w:t>
      </w:r>
      <w:r>
        <w:rPr>
          <w:rFonts w:hint="eastAsia" w:ascii="仿宋_GB2312" w:eastAsia="仿宋_GB2312"/>
          <w:sz w:val="32"/>
          <w:szCs w:val="32"/>
        </w:rPr>
        <w:t>贯彻执行中央、省、市关于商务工作的方针政策和决策部署。落实国家、省、市有关国内外贸易、国际经济合作、利用外资和口岸工作的发展战略、方针、政策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支持做好内贸流通、电子商务、外贸外资外经相关工作，保障商务领域基础工作运转。根据</w:t>
      </w:r>
      <w:r>
        <w:rPr>
          <w:rFonts w:hint="eastAsia" w:ascii="仿宋_GB2312" w:eastAsia="仿宋_GB2312"/>
          <w:sz w:val="32"/>
          <w:szCs w:val="32"/>
        </w:rPr>
        <w:t>《关于印发六安市叶集区商务局职能配置、内设机构和人员编制规定》（叶办发〔2019〕13号）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等文件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同意六安市叶集区商务局</w:t>
      </w:r>
      <w:r>
        <w:rPr>
          <w:rFonts w:hint="eastAsia" w:ascii="仿宋_GB2312" w:eastAsia="仿宋_GB2312"/>
          <w:sz w:val="32"/>
          <w:szCs w:val="32"/>
          <w:highlight w:val="none"/>
        </w:rPr>
        <w:t>设立“商务工作经费”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预算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ascii="仿宋_GB2312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主要内容及实施情况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“</w:t>
      </w:r>
      <w:r>
        <w:rPr>
          <w:rFonts w:hint="eastAsia" w:ascii="仿宋_GB2312" w:eastAsia="仿宋_GB2312"/>
          <w:sz w:val="32"/>
          <w:szCs w:val="32"/>
          <w:highlight w:val="none"/>
        </w:rPr>
        <w:t>商务工作经费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”预算项目主要包括区商务局商务相关工作的日常运转，包括办公费、印刷费、差旅费等日常办公支出，及广交会、世界制造业大会等展会参展差旅费。支出严格按照发票及相关参会参加、培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训开展等文件</w:t>
      </w:r>
      <w:r>
        <w:rPr>
          <w:rFonts w:hint="eastAsia" w:ascii="仿宋_GB2312"/>
          <w:sz w:val="32"/>
          <w:szCs w:val="32"/>
          <w:highlight w:val="none"/>
          <w:lang w:val="en-US" w:eastAsia="zh-CN"/>
        </w:rPr>
        <w:t>内容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，按标准给予报销商务工作专项经费。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  <w:highlight w:val="none"/>
          <w:lang w:val="en-US" w:eastAsia="zh-CN" w:bidi="ar-SA"/>
        </w:rPr>
        <w:t>3.资金投入和使用情况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202</w:t>
      </w:r>
      <w:r>
        <w:rPr>
          <w:rFonts w:hint="eastAsia" w:ascii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年预算安排资金</w:t>
      </w:r>
      <w:r>
        <w:rPr>
          <w:rFonts w:hint="eastAsia" w:ascii="仿宋_GB2312"/>
          <w:sz w:val="32"/>
          <w:szCs w:val="32"/>
          <w:highlight w:val="none"/>
          <w:lang w:val="en-US" w:eastAsia="zh-CN"/>
        </w:rPr>
        <w:t>69.9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万元，其中：区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财政预算拨款安排</w:t>
      </w:r>
      <w:r>
        <w:rPr>
          <w:rFonts w:hint="eastAsia" w:ascii="仿宋_GB2312"/>
          <w:sz w:val="32"/>
          <w:szCs w:val="32"/>
          <w:highlight w:val="none"/>
          <w:lang w:val="en-US" w:eastAsia="zh-CN"/>
        </w:rPr>
        <w:t>69.9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万元，用于保障区商务局基础商务工作运转。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项目绩效目标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1.项目总体目标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全面统筹各项商务工作，全面完成政策制定参会参展、市场信用体系建设等管理任务。推广中小企业运用电子商务的普及率，促进网络购物、网络销售稳步上升。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项目绩效阶段性目标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完成农村电商、商贸流通促进政策制定，推广中小企业运用电子商务的普及率，促进网络购物、网络销售稳步上升。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（一）绩效评价目的、对象和范围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60" w:lineRule="exact"/>
        <w:ind w:firstLine="643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仿宋_GB2312" w:hAnsi="Times New Roman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.</w:t>
      </w:r>
      <w:r>
        <w:rPr>
          <w:rFonts w:hint="eastAsia" w:ascii="仿宋_GB2312" w:hAnsi="Times New Roman" w:eastAsia="仿宋_GB2312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绩效评价目的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。绩效评价秉承科学规范、公平公正、分级分类、绩效相关等原则，按照项目立项、预算管理、项目实施的分析路径，结合商务工作要求及叶集区经济发展实际情况，运用定量和定性分析相结合的方法，总结经验做法，切实提升财政资金管理的科学化、规范化和精细化水平，为今后类似项目实施、管理提供经验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60" w:lineRule="exact"/>
        <w:ind w:firstLine="643" w:firstLineChars="200"/>
        <w:jc w:val="both"/>
        <w:textAlignment w:val="auto"/>
        <w:rPr>
          <w:rFonts w:hint="eastAsia" w:ascii="仿宋_GB2312" w:hAnsi="Times New Roman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2</w:t>
      </w:r>
      <w:r>
        <w:rPr>
          <w:rFonts w:hint="eastAsia" w:ascii="仿宋_GB2312" w:hAnsi="Times New Roman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.</w:t>
      </w:r>
      <w:r>
        <w:rPr>
          <w:rFonts w:hint="eastAsia" w:ascii="仿宋_GB2312" w:hAnsi="Times New Roman" w:eastAsia="仿宋_GB2312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绩效评价对象。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商务工作经费</w:t>
      </w:r>
      <w:r>
        <w:rPr>
          <w:rFonts w:hint="eastAsia" w:ascii="仿宋_GB2312" w:hAnsi="Times New Roman" w:cs="Times New Roman"/>
          <w:kern w:val="2"/>
          <w:sz w:val="32"/>
          <w:szCs w:val="32"/>
          <w:highlight w:val="none"/>
          <w:lang w:val="en-US" w:eastAsia="zh-CN" w:bidi="ar-SA"/>
        </w:rPr>
        <w:t>项目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60" w:lineRule="exact"/>
        <w:ind w:firstLine="643" w:firstLineChars="200"/>
        <w:jc w:val="both"/>
        <w:textAlignment w:val="auto"/>
        <w:rPr>
          <w:rFonts w:hint="eastAsi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ascii="仿宋_GB2312" w:hAnsi="Times New Roman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.</w:t>
      </w:r>
      <w:r>
        <w:rPr>
          <w:rFonts w:hint="eastAsia" w:ascii="仿宋_GB2312" w:hAnsi="Times New Roman" w:eastAsia="仿宋_GB2312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绩效评价范围。</w:t>
      </w:r>
      <w:r>
        <w:rPr>
          <w:rFonts w:hint="eastAsia" w:ascii="仿宋_GB2312" w:hAnsi="Times New Roman" w:cs="Times New Roman"/>
          <w:kern w:val="2"/>
          <w:sz w:val="32"/>
          <w:szCs w:val="32"/>
          <w:highlight w:val="none"/>
          <w:lang w:val="en-US" w:eastAsia="zh-CN" w:bidi="ar-SA"/>
        </w:rPr>
        <w:t>资金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项目实施</w:t>
      </w:r>
      <w:r>
        <w:rPr>
          <w:rFonts w:hint="eastAsia" w:ascii="仿宋_GB2312" w:hAnsi="Times New Roman" w:cs="Times New Roman"/>
          <w:kern w:val="2"/>
          <w:sz w:val="32"/>
          <w:szCs w:val="32"/>
          <w:highlight w:val="none"/>
          <w:lang w:val="en-US" w:eastAsia="zh-CN" w:bidi="ar-SA"/>
        </w:rPr>
        <w:t>规范性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、质量、进度以及项目支付情况。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</w:rPr>
        <w:t>绩效评价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框架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1.绩效评价原则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（1）科学规范原则：注重项目支出的真实性和有效性，严格执行规定的程序，采用定量与定性分析相结合的方法。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（2）公正公开原则：遵循客观、公正的原则，标准统一、资料可靠，依法公开并接受监督。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（3）绩效相关原则：针对具体支出及其项目绩效进行评价，以保证评价结果清晰反映项目支出和绩效之间的紧密对应关系。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2.评价指标体系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本项目评价指标体系依据六安市财政局制定的《绩效评价指标体系框架》确定,分为四大部分，即投入和管理、产出、效益和满意度四个方面对评价指标体系进行逐步分解，评价采取百分制的计分方式。根据项目支出的实际情况，针对项目特点及各指标难度、类别考评内容，并参考了评价小组及被评价单位的意见，最终确定各个指标相对于总体绩效的权重分值投入和管理权重值为10%，产出权重值为50%，效益权重值为30%，满意度权重值为10%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投入和管理标准分10分，该部分反映项目实施单位的项目立项规范性、资金落实等情况；产出标准分50分，该部分反映项目实施单位的实际完成、质量达标情况；效益标准分30分，该部分反映项目社会效益情况；满意度标准分10分，该部分反映项目服务对象满意度情况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评分方法：项目绩效评价结果分4个等级，90-100分为优秀、80-89分为良好、60-79分为一般、60分以下为差。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3.评价方法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（1）撰写项目支出绩效自评报告。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（2）组织绩效评价工作组在评价单位绩效自评报告的基础上，对照评价指标和计分标准进行评价，对项目支出的实施情况进行核查，核实相关信息并量化评分，形成项目支出绩效评价表和绩效评价报告。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4.评价标准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（1）计划标准：以预先制定的目标、计划、预算、定额等数据作为评价标准。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（2）行业标准：参照国家、本省、市、县公布的相关行业评价标准。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（3）历史标准：同类指标采用历史数据制定的评价标准。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（4）其他标准：经财政部门确认的其他标准。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（三）绩效评价工作过程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00"/>
          <w:tab w:val="center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绩效评价工作过程包括准备、实施、总结三个阶段。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00"/>
          <w:tab w:val="center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1. 准备阶段：根据绩效评价的基本原理、原则和项目特点， 结合绩效目标，科学设计满意度问卷，对管理人员进行访谈。在绩效评价设计过程中，广泛地收集和分析了项目的相关资料、相关政策文件，并对项目进行了前期调研。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00"/>
          <w:tab w:val="center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2. 实施阶段：（1）参加财政绩效评价培训。（2）收集并审核项目佐证材料。(3)开展自评工作。（4）确定重点项目评价指标体系。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00"/>
          <w:tab w:val="center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3. 总结阶段：（1）撰写绩效评价报告。（2）总结经验、发现问题，提出改进的意见和建议。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三、综合评价情况及评价结论（附相关评分表）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该项目绩效自评得分97.2分，预算资金执行率82.4%，，评价等级为优秀。本项目符合国家产业政策，项目管理有效，社会效益明显，项目建设能够形成可持续的影响，年初设立的项目绩效总体目标和阶段性目标基本全部完成。</w:t>
      </w:r>
    </w:p>
    <w:tbl>
      <w:tblPr>
        <w:tblStyle w:val="7"/>
        <w:tblW w:w="80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557"/>
        <w:gridCol w:w="1533"/>
        <w:gridCol w:w="1155"/>
        <w:gridCol w:w="1125"/>
        <w:gridCol w:w="1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240" w:line="560" w:lineRule="exact"/>
              <w:jc w:val="center"/>
              <w:textAlignment w:val="auto"/>
              <w:rPr>
                <w:rFonts w:hint="eastAsia" w:ascii="仿宋" w:hAnsi="仿宋" w:eastAsia="仿宋" w:cs="Arial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  <w:szCs w:val="24"/>
              </w:rPr>
              <w:t>指标</w:t>
            </w:r>
          </w:p>
        </w:tc>
        <w:tc>
          <w:tcPr>
            <w:tcW w:w="15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240" w:line="560" w:lineRule="exact"/>
              <w:jc w:val="center"/>
              <w:textAlignment w:val="auto"/>
              <w:rPr>
                <w:rFonts w:hint="eastAsia" w:ascii="仿宋" w:hAnsi="仿宋" w:eastAsia="仿宋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  <w:szCs w:val="24"/>
              </w:rPr>
              <w:t>投入和管理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240" w:line="560" w:lineRule="exact"/>
              <w:jc w:val="center"/>
              <w:textAlignment w:val="auto"/>
              <w:rPr>
                <w:rFonts w:ascii="仿宋" w:hAnsi="仿宋" w:eastAsia="仿宋" w:cs="Arial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  <w:szCs w:val="24"/>
              </w:rPr>
              <w:t>产出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240" w:line="560" w:lineRule="exact"/>
              <w:jc w:val="center"/>
              <w:textAlignment w:val="auto"/>
              <w:rPr>
                <w:rFonts w:ascii="仿宋" w:hAnsi="仿宋" w:eastAsia="仿宋" w:cs="Arial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  <w:szCs w:val="24"/>
              </w:rPr>
              <w:t>效益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240" w:line="560" w:lineRule="exact"/>
              <w:jc w:val="center"/>
              <w:textAlignment w:val="auto"/>
              <w:rPr>
                <w:rFonts w:ascii="仿宋" w:hAnsi="仿宋" w:eastAsia="仿宋" w:cs="Arial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12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240" w:line="560" w:lineRule="exact"/>
              <w:jc w:val="center"/>
              <w:textAlignment w:val="auto"/>
              <w:rPr>
                <w:rFonts w:ascii="仿宋" w:hAnsi="仿宋" w:eastAsia="仿宋" w:cs="Arial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  <w:szCs w:val="24"/>
              </w:rPr>
              <w:t>合 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240" w:line="560" w:lineRule="exact"/>
              <w:jc w:val="center"/>
              <w:textAlignment w:val="auto"/>
              <w:rPr>
                <w:rFonts w:ascii="仿宋" w:hAnsi="仿宋" w:eastAsia="仿宋" w:cs="Arial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  <w:szCs w:val="24"/>
              </w:rPr>
              <w:t>分值</w:t>
            </w:r>
          </w:p>
        </w:tc>
        <w:tc>
          <w:tcPr>
            <w:tcW w:w="15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240" w:after="240" w:line="560" w:lineRule="exact"/>
              <w:jc w:val="center"/>
              <w:textAlignment w:val="auto"/>
              <w:rPr>
                <w:rFonts w:hint="eastAsia" w:ascii="仿宋" w:hAnsi="仿宋" w:eastAsia="仿宋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  <w:szCs w:val="24"/>
              </w:rPr>
              <w:t>10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240" w:line="560" w:lineRule="exact"/>
              <w:jc w:val="center"/>
              <w:textAlignment w:val="auto"/>
              <w:rPr>
                <w:rFonts w:hint="default" w:ascii="仿宋" w:hAnsi="仿宋" w:eastAsia="仿宋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240" w:line="560" w:lineRule="exact"/>
              <w:jc w:val="center"/>
              <w:textAlignment w:val="auto"/>
              <w:rPr>
                <w:rFonts w:ascii="仿宋" w:hAnsi="仿宋" w:eastAsia="仿宋" w:cs="Arial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  <w:szCs w:val="24"/>
              </w:rPr>
              <w:t>30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240" w:line="560" w:lineRule="exact"/>
              <w:jc w:val="center"/>
              <w:textAlignment w:val="auto"/>
              <w:rPr>
                <w:rFonts w:ascii="仿宋" w:hAnsi="仿宋" w:eastAsia="仿宋" w:cs="Arial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  <w:szCs w:val="24"/>
              </w:rPr>
              <w:t>10</w:t>
            </w:r>
          </w:p>
        </w:tc>
        <w:tc>
          <w:tcPr>
            <w:tcW w:w="12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240" w:line="560" w:lineRule="exact"/>
              <w:jc w:val="center"/>
              <w:textAlignment w:val="auto"/>
              <w:rPr>
                <w:rFonts w:ascii="仿宋" w:hAnsi="仿宋" w:eastAsia="仿宋" w:cs="Arial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  <w:szCs w:val="24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240" w:line="560" w:lineRule="exact"/>
              <w:jc w:val="center"/>
              <w:textAlignment w:val="auto"/>
              <w:rPr>
                <w:rFonts w:ascii="仿宋" w:hAnsi="仿宋" w:eastAsia="仿宋" w:cs="Arial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  <w:szCs w:val="24"/>
              </w:rPr>
              <w:t>得分</w:t>
            </w:r>
          </w:p>
        </w:tc>
        <w:tc>
          <w:tcPr>
            <w:tcW w:w="15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240" w:line="560" w:lineRule="exact"/>
              <w:jc w:val="center"/>
              <w:textAlignment w:val="auto"/>
              <w:rPr>
                <w:rFonts w:hint="default" w:ascii="仿宋" w:hAnsi="仿宋" w:eastAsia="仿宋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  <w:szCs w:val="24"/>
                <w:lang w:val="en-US" w:eastAsia="zh-CN"/>
              </w:rPr>
              <w:t>8.2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240" w:line="560" w:lineRule="exact"/>
              <w:jc w:val="center"/>
              <w:textAlignment w:val="auto"/>
              <w:rPr>
                <w:rFonts w:hint="default" w:ascii="仿宋" w:hAnsi="仿宋" w:eastAsia="仿宋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  <w:szCs w:val="24"/>
                <w:lang w:val="en-US" w:eastAsia="zh-CN"/>
              </w:rPr>
              <w:t>49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240" w:line="560" w:lineRule="exact"/>
              <w:jc w:val="center"/>
              <w:textAlignment w:val="auto"/>
              <w:rPr>
                <w:rFonts w:hint="default" w:ascii="仿宋" w:hAnsi="仿宋" w:eastAsia="仿宋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240" w:line="560" w:lineRule="exact"/>
              <w:jc w:val="center"/>
              <w:textAlignment w:val="auto"/>
              <w:rPr>
                <w:rFonts w:hint="default" w:ascii="仿宋" w:hAnsi="仿宋" w:eastAsia="仿宋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240" w:line="560" w:lineRule="exact"/>
              <w:jc w:val="center"/>
              <w:textAlignment w:val="auto"/>
              <w:rPr>
                <w:rFonts w:hint="default" w:ascii="仿宋" w:hAnsi="仿宋" w:eastAsia="仿宋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  <w:szCs w:val="24"/>
                <w:lang w:val="en-US" w:eastAsia="zh-CN"/>
              </w:rPr>
              <w:t>97.2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</w:rPr>
        <w:t>四、绩效评价指标分析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投入和管理指标。分值10分，得10分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预算执行率，分值4分，得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预算执行率=实际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使用商务工作经费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÷年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处财政下拨商务工作专项经费。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资金到位率，分值3分，得3分。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区财政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年度指标计划全部到位，资金到位率100%。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财务制度健全性、执行有效性，分值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财务制度健全性、执行有效性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方面，在评价过程，项目相关支出凭证齐全，财务制度健全，项目资金保障基层商务工作运转，符合支出标准。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产出指标。分值50分，得44.8分。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（1）数量指标，分值24分，得分20.8分。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①电子商务。年初任务指标值为电子商务农村产品网销额达3.5亿元以上，新增电商经营主体40家以上，实际完成值为电商网络零售额0.87亿元，同比增长13.0%，增幅增长达到年初要求，数额因年度数据统计口径不一，未达目标值。得分8*0.6=4.8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②外贸进出口。年初任务指标值为增幅达到全省平均水平，实际完成值外贸进出口总额0.70亿美元，同比增长60.6%，超过全省平均增幅。完成年初目标任务，得分8分。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③内贸流通。年初任务指标值为社零及限上社零目标增幅达10.5%左右，新增限上企业数约10家。实际完成值社会消费品零售总额33.54亿元，同比增长24.2%，年度新增19家。完成年初目标任务，得分8分。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（2）质量指标，分值10分，得分8分。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初任务指标值为全面完成政策制定、参会参展、市场信用体系建设等管理任务。2021年全年基本完成政策制定、参会参展、市场信用体系建设等管理任务。拟出台的商贸流通业培育机制，在年度内尚未出台。争取在2022年完成政策制定。任务完成整体进度80%，得分10*0.8=8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（3）时效指标，分值8分，得分8分。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年初任务指标值为及时完成政策制定、参会参展、市场信用体系建设等管理任务，相关任务指标经费及时拨付，2021年度商务工作专项经费够按预算进度执行。分值8分，得8分。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成本指标，分值8分，得分8分。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年初任务指标值为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办公费、印刷费、差旅费及其他商品服务支出等30万元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，实际年度支出30万元。分值8分，得8分。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效益指标，分值30分，得分30分。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经济效益指标，分值10分，得分10分。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通过政策实行，及时掌握了解商务工作专项经费项目可能存在的问题，针对性提出解决问题的建议，合理节约财政资金，提高资金使用效益。分值10分，得10分。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社会效益指标，分值10分，得分10分。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通过对电子商务、内贸流通、外贸进出口等工作的资金支持，进一步提高商务工作管理水平和工作效益，保质保量完成上级交办的工作目标。分值10分，得10分。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可持续影响指标。分值10分，得10分。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通过项目实施，保障项目安排的合理性，提高了项目的实施效率。分值10分，得10分。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满意度指标。分值10分，得10分。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通过项目实施，全区商贸工作稳步推进，商务工作得到了群众的一致好评，商务指标完成情况收到上级部门肯定。分值10分，得10分。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</w:rPr>
        <w:t>主要经验及做法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单位重视，制度保障，程序管理。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区商务局对商务工作专项经费的运行高度重视，规范项目支出，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明确各级工作职责，规范工作流程，强化程序管理。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通过项目实施，2022年度叶集区商务局经济指标运转良好。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内贸方面：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限上商贸企业（含大个体，下同）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数量快速增长，2021年56家、2022年69家、2023年105家，年均增幅36.9%。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市场销售持续保持旺盛态势，202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年限上社零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6.42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亿元，同比增长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12.5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%，增幅居全市第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，高于全市8.2个百分点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社会消费品零售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总额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34.47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亿元，同比增长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2.8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%，增幅居全市第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其中批发业销售额5.87亿元，同比增长9.3%，与全市持平；零售业销售额30.31亿元，同比增长8.1%，高于全市2个百分点；住宿业营业额0.78亿元，同比增长12.4%，高于全市4.4个百分点；餐饮业营业额5.12亿元，同比增长6.7%，高于全市3.1分百分点。电商方面：2022年度电商网络零售额0.66亿元，同比增长39.5%，增幅居全市第一位。外资外贸外经方面：2022年度直接利用外资100万美元，同期数字为0，新设外商企业1个。新增外经六安越华产业投资有限公司向越南投资510万美元，为叶集区首例对外投资。1-12月，外贸进出口额达10276万美元，同比增长47.27%，高于全市47.27个百分点，居全市第一位。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textAlignment w:val="auto"/>
        <w:rPr>
          <w:rFonts w:hint="eastAsia" w:eastAsia="黑体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</w:rPr>
        <w:t>存在问题及原因分析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部分绩效目标设定的较为宽泛，未能贴合项目实际情况，可进一步优化。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/>
          <w:highlight w:val="none"/>
        </w:rPr>
      </w:pPr>
      <w:r>
        <w:rPr>
          <w:rFonts w:hint="eastAsia" w:eastAsia="黑体"/>
          <w:sz w:val="32"/>
          <w:szCs w:val="32"/>
          <w:highlight w:val="none"/>
        </w:rPr>
        <w:t>七、有关建议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针对此次的项目的绩效评价结果，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在单位内部给予全面公式，收集单位职员反馈意见并进行完善。同时，对于此次自评中出现偏差的指标，自查自纠偏差产生的原因，确保下年预算制定准确，契合单位实际工作需求需要。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0" w:firstLineChars="200"/>
        <w:jc w:val="left"/>
        <w:textAlignment w:val="auto"/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其他需要说明的问题</w:t>
      </w:r>
    </w:p>
    <w:p>
      <w:pPr>
        <w:pStyle w:val="2"/>
        <w:numPr>
          <w:ilvl w:val="0"/>
          <w:numId w:val="0"/>
        </w:numPr>
        <w:ind w:leftChars="200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无</w:t>
      </w:r>
    </w:p>
    <w:p>
      <w:pPr>
        <w:pStyle w:val="3"/>
        <w:jc w:val="both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附表：商务工作经费项目支出绩效自评表</w:t>
      </w:r>
    </w:p>
    <w:p>
      <w:pPr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br w:type="page"/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附表</w:t>
      </w:r>
    </w:p>
    <w:p>
      <w:pPr>
        <w:pStyle w:val="2"/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项目支出绩效评价指标评分表</w:t>
      </w:r>
    </w:p>
    <w:p>
      <w:pPr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项目单位：区商务局 </w:t>
      </w:r>
      <w:r>
        <w:rPr>
          <w:rFonts w:hint="eastAsia"/>
          <w:sz w:val="24"/>
          <w:szCs w:val="24"/>
          <w:lang w:val="en-US" w:eastAsia="zh-CN"/>
        </w:rPr>
        <w:t xml:space="preserve">                   </w:t>
      </w:r>
      <w:r>
        <w:rPr>
          <w:rFonts w:hint="eastAsia"/>
          <w:b/>
          <w:bCs/>
          <w:sz w:val="24"/>
          <w:szCs w:val="24"/>
          <w:lang w:val="en-US" w:eastAsia="zh-CN"/>
        </w:rPr>
        <w:t>项目名称：商务工作专项经费</w:t>
      </w:r>
    </w:p>
    <w:tbl>
      <w:tblPr>
        <w:tblStyle w:val="6"/>
        <w:tblW w:w="441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1622"/>
        <w:gridCol w:w="2257"/>
        <w:gridCol w:w="1144"/>
        <w:gridCol w:w="10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指标分值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投入和管理指标（10分）</w:t>
            </w:r>
          </w:p>
        </w:tc>
        <w:tc>
          <w:tcPr>
            <w:tcW w:w="10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市级使用项目金额/年度预算项目总额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10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绩效评价项目≥5个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开展党员实践和结对共建活动≥6次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9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农村电商年均销售≥0.95亿元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农村电商销售额年均增幅≥10%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9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9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绩效评价工作审核合格率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项目完成及时性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9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经费支出及时性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商务工作成本≤350000元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9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一套表平台企业统计人员奖补成本≤288000元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9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10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通过对项目实施，提高驻村质量，帮扶贫困群众，更好的完成上级及村级各项任务工作，推进精准扶贫工作。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9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通过对项目实施，深入学习贯彻习近平新时代中国特色社会主义思想，提高局内党组组织建设的制度化、规范化、科学化水平。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9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通过对项目实施，为进一步促进基层统计工作规范化建设，提升统计数据质量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商务工作管理长效机制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9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10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9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审计、巡视、检查等满意度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9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上级单位满意度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9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合计</w:t>
            </w:r>
          </w:p>
        </w:tc>
        <w:tc>
          <w:tcPr>
            <w:tcW w:w="10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97.2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</w:p>
    <w:p>
      <w:pPr>
        <w:pStyle w:val="3"/>
        <w:jc w:val="both"/>
        <w:rPr>
          <w:rFonts w:hint="eastAsia" w:eastAsia="黑体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ZXiaoBiaoSong-B05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2E7858"/>
    <w:multiLevelType w:val="singleLevel"/>
    <w:tmpl w:val="862E7858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89608D1"/>
    <w:multiLevelType w:val="singleLevel"/>
    <w:tmpl w:val="189608D1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2A0FBE21"/>
    <w:multiLevelType w:val="singleLevel"/>
    <w:tmpl w:val="2A0FBE2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4FE27DE0"/>
    <w:multiLevelType w:val="singleLevel"/>
    <w:tmpl w:val="4FE27DE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8A88F58"/>
    <w:multiLevelType w:val="singleLevel"/>
    <w:tmpl w:val="68A88F5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7523A755"/>
    <w:multiLevelType w:val="singleLevel"/>
    <w:tmpl w:val="7523A75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1MzhkNzdmNzM0MjcyY2FjZTFkMWRhNTJiYTMwMzAifQ=="/>
  </w:docVars>
  <w:rsids>
    <w:rsidRoot w:val="00000000"/>
    <w:rsid w:val="03B10437"/>
    <w:rsid w:val="05E05DF0"/>
    <w:rsid w:val="091F6C03"/>
    <w:rsid w:val="0D780FE7"/>
    <w:rsid w:val="19FF2BCC"/>
    <w:rsid w:val="1C016EFF"/>
    <w:rsid w:val="1CB26773"/>
    <w:rsid w:val="1D4856F3"/>
    <w:rsid w:val="1E69212B"/>
    <w:rsid w:val="29AC4779"/>
    <w:rsid w:val="29CB25B3"/>
    <w:rsid w:val="2A8320CC"/>
    <w:rsid w:val="2C946346"/>
    <w:rsid w:val="2F63061D"/>
    <w:rsid w:val="33831C23"/>
    <w:rsid w:val="3433365E"/>
    <w:rsid w:val="35636E53"/>
    <w:rsid w:val="37D651D3"/>
    <w:rsid w:val="3A937758"/>
    <w:rsid w:val="3CBD24D2"/>
    <w:rsid w:val="414F3586"/>
    <w:rsid w:val="42A40FE3"/>
    <w:rsid w:val="46C31209"/>
    <w:rsid w:val="495F4A9E"/>
    <w:rsid w:val="4AF15CBB"/>
    <w:rsid w:val="50782B52"/>
    <w:rsid w:val="540972CE"/>
    <w:rsid w:val="544D4C97"/>
    <w:rsid w:val="556A10AB"/>
    <w:rsid w:val="5BC523C3"/>
    <w:rsid w:val="5D1B3BC2"/>
    <w:rsid w:val="63A23A32"/>
    <w:rsid w:val="661C3F04"/>
    <w:rsid w:val="67B36B58"/>
    <w:rsid w:val="696A441D"/>
    <w:rsid w:val="6C72060F"/>
    <w:rsid w:val="76ED1BCC"/>
    <w:rsid w:val="77A229E9"/>
    <w:rsid w:val="78C31F79"/>
    <w:rsid w:val="7BE2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jc w:val="left"/>
      <w:outlineLvl w:val="1"/>
    </w:pPr>
    <w:rPr>
      <w:rFonts w:hint="eastAsia" w:ascii="宋体" w:eastAsia="宋体"/>
      <w:b/>
      <w:bCs/>
      <w:kern w:val="0"/>
      <w:sz w:val="24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jc w:val="center"/>
    </w:pPr>
    <w:rPr>
      <w:rFonts w:eastAsia="黑体"/>
      <w:sz w:val="36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2022-07-01T02:52:00Z</dcterms:created>
  <dc:creator>dell</dc:creator>
  <cp:lastModifiedBy>拉布拉多喵</cp:lastModifiedBy>
  <dcterms:modified xsi:type="dcterms:W3CDTF">2023-08-18T08:25:34Z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FBDF3B4EAF2142E8A1C04661213209E3</vt:lpwstr>
  </property>
</Properties>
</file>