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eastAsia" w:eastAsia="方正小标宋简体"/>
          <w:sz w:val="44"/>
          <w:szCs w:val="44"/>
          <w:lang w:val="en-US" w:eastAsia="zh-CN"/>
        </w:rPr>
      </w:pPr>
      <w:r>
        <w:rPr>
          <w:rFonts w:hint="eastAsia" w:eastAsia="方正小标宋简体"/>
          <w:sz w:val="44"/>
          <w:szCs w:val="44"/>
          <w:lang w:val="en-US" w:eastAsia="zh-CN"/>
        </w:rPr>
        <w:t>六安市叶集区文化旅游体育局文化专项经费</w:t>
      </w:r>
    </w:p>
    <w:p>
      <w:pPr>
        <w:spacing w:line="576" w:lineRule="exact"/>
        <w:jc w:val="center"/>
        <w:rPr>
          <w:rFonts w:hint="eastAsia" w:eastAsia="方正小标宋简体"/>
          <w:sz w:val="44"/>
          <w:szCs w:val="44"/>
        </w:rPr>
      </w:pPr>
      <w:r>
        <w:rPr>
          <w:rFonts w:hint="eastAsia" w:eastAsia="方正小标宋简体"/>
          <w:sz w:val="44"/>
          <w:szCs w:val="44"/>
        </w:rPr>
        <w:t>项目支出绩效评价报告</w:t>
      </w:r>
    </w:p>
    <w:p>
      <w:pPr>
        <w:spacing w:line="576" w:lineRule="exact"/>
        <w:ind w:firstLine="640" w:firstLineChars="200"/>
        <w:rPr>
          <w:sz w:val="32"/>
          <w:szCs w:val="32"/>
        </w:rPr>
      </w:pPr>
    </w:p>
    <w:p>
      <w:pPr>
        <w:spacing w:line="576" w:lineRule="exact"/>
        <w:ind w:firstLine="640" w:firstLineChars="200"/>
        <w:rPr>
          <w:rFonts w:hint="eastAsia" w:eastAsia="黑体"/>
          <w:sz w:val="32"/>
          <w:szCs w:val="32"/>
        </w:rPr>
      </w:pPr>
      <w:r>
        <w:rPr>
          <w:rFonts w:hint="eastAsia" w:eastAsia="黑体"/>
          <w:sz w:val="32"/>
          <w:szCs w:val="32"/>
        </w:rPr>
        <w:t>一、项目基本情况</w:t>
      </w:r>
    </w:p>
    <w:p>
      <w:pPr>
        <w:spacing w:line="576" w:lineRule="exact"/>
        <w:ind w:firstLine="643" w:firstLineChars="200"/>
        <w:rPr>
          <w:rFonts w:hint="eastAsia"/>
          <w:b/>
          <w:bCs/>
          <w:sz w:val="32"/>
          <w:szCs w:val="32"/>
        </w:rPr>
      </w:pPr>
      <w:r>
        <w:rPr>
          <w:rFonts w:hint="eastAsia"/>
          <w:b/>
          <w:bCs/>
          <w:sz w:val="32"/>
          <w:szCs w:val="32"/>
        </w:rPr>
        <w:t>（一）项目概况</w:t>
      </w:r>
    </w:p>
    <w:p>
      <w:pPr>
        <w:keepNext w:val="0"/>
        <w:keepLines w:val="0"/>
        <w:pageBreakBefore w:val="0"/>
        <w:widowControl w:val="0"/>
        <w:kinsoku/>
        <w:wordWrap/>
        <w:overflowPunct/>
        <w:topLinePunct w:val="0"/>
        <w:autoSpaceDE w:val="0"/>
        <w:autoSpaceDN/>
        <w:bidi w:val="0"/>
        <w:adjustRightInd w:val="0"/>
        <w:snapToGrid w:val="0"/>
        <w:spacing w:beforeAutospacing="0" w:afterAutospacing="0" w:line="560" w:lineRule="exact"/>
        <w:ind w:firstLine="643" w:firstLineChars="200"/>
        <w:textAlignment w:val="auto"/>
        <w:rPr>
          <w:rFonts w:hint="eastAsia" w:ascii="Times New Roman" w:hAnsi="Times New Roman" w:cs="Times New Roman"/>
          <w:b/>
          <w:bCs/>
          <w:sz w:val="32"/>
          <w:lang w:val="en-US" w:eastAsia="zh-CN"/>
        </w:rPr>
      </w:pPr>
      <w:r>
        <w:rPr>
          <w:rFonts w:hint="eastAsia" w:ascii="Times New Roman" w:hAnsi="Times New Roman" w:cs="Times New Roman"/>
          <w:b/>
          <w:bCs/>
          <w:sz w:val="32"/>
          <w:lang w:val="en-US" w:eastAsia="zh-CN"/>
        </w:rPr>
        <w:t>1、项目背景</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根据叶办发</w:t>
      </w:r>
      <w:r>
        <w:rPr>
          <w:rFonts w:hint="eastAsia" w:ascii="仿宋_GB2312" w:hAnsi="仿宋_GB2312" w:cs="仿宋_GB2312"/>
          <w:color w:val="000000"/>
          <w:kern w:val="0"/>
          <w:sz w:val="32"/>
          <w:szCs w:val="32"/>
          <w:lang w:val="en-US" w:eastAsia="zh-CN" w:bidi="ar-SA"/>
        </w:rPr>
        <w:t>〔</w:t>
      </w:r>
      <w:r>
        <w:rPr>
          <w:rFonts w:hint="eastAsia" w:ascii="仿宋_GB2312" w:hAnsi="仿宋_GB2312" w:eastAsia="仿宋_GB2312" w:cs="仿宋_GB2312"/>
          <w:color w:val="000000"/>
          <w:kern w:val="0"/>
          <w:sz w:val="32"/>
          <w:szCs w:val="32"/>
          <w:lang w:val="en-US" w:eastAsia="zh-CN" w:bidi="ar-SA"/>
        </w:rPr>
        <w:t>2019</w:t>
      </w:r>
      <w:r>
        <w:rPr>
          <w:rFonts w:hint="eastAsia" w:ascii="仿宋_GB2312" w:hAnsi="仿宋_GB2312" w:cs="仿宋_GB2312"/>
          <w:color w:val="000000"/>
          <w:kern w:val="0"/>
          <w:sz w:val="32"/>
          <w:szCs w:val="32"/>
          <w:lang w:val="en-US" w:eastAsia="zh-CN" w:bidi="ar-SA"/>
        </w:rPr>
        <w:t>〕</w:t>
      </w:r>
      <w:r>
        <w:rPr>
          <w:rFonts w:hint="eastAsia" w:ascii="仿宋_GB2312" w:hAnsi="仿宋_GB2312" w:eastAsia="仿宋_GB2312" w:cs="仿宋_GB2312"/>
          <w:color w:val="000000"/>
          <w:kern w:val="0"/>
          <w:sz w:val="32"/>
          <w:szCs w:val="32"/>
          <w:lang w:val="en-US" w:eastAsia="zh-CN" w:bidi="ar-SA"/>
        </w:rPr>
        <w:t>14号文件规定，六安市叶集区文化旅游体育局主要职责是：</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（一）贯彻执行党和国家关于文化、旅游、体育、文物、广电、新闻出版（版权）工作的方针政策、法律法规规章；提出并落实有关工作政策、规划和措施。</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（二）组织并落实本系统改革和发展工作；推动文化体育和旅游融合发展；拟定并实施全区文化旅游体育事业的发展规划和基本建设规划。</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（三）组织本系统文化旅游体育项目申报各级各类专项资金；组织申报区本级政府购买文化旅游体育服务项目；组织实施全区重点文化旅游体育项目；落实文化旅游体育方面的产业规划和经济政策。</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（四）拟订并实施全区文化旅游体育行业人才发展规划；指导并组织实施相关培训工作，贯彻实施文化旅游体育从业人员职业资格标准和登记标准。</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五）组织实施文化旅游体育资源普查、挖掘、保护和利用工作，指导重点旅游区域、目的地和线路的规划开发，推进假日旅游、乡村旅游和红色旅游工作；贯彻实施旅游区、旅游设施、旅游服务、旅游产品等方面的标准；加强区级文化旅游体育各类项目资金管理，监测全区文化旅游体育经济运行；负责有关行业统计及信息发布。</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（六）指导、管理文艺事业，推进艺术创作与生产，扶持各门类艺术精品创作；指导协调全区艺术场馆和艺术院团活动开展，组织实施大型文化交流活动。</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七）规划并组织实施全区公共文化旅游体育服务体系建设；深入实施文化民生工程，统筹推进基本公共文化服务标准化、均等化；负责图书馆、文化馆（站）、美术馆及基层各类社会文化事业的建设与发展，引导社会力量参与公共文化旅游体育服务体系建设；推进文化旅游体育科技创新发展，推进文化旅游体育行业信息化、标准化建设。</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八）负责全区文物和非物质文化遗产工作。贯彻实施文物和非物质文化遗产有关法规、规章、政策；履行文物行政管理职责，综合管理全区文物、博物馆（纪念馆）事业，指导文物保护、抢救和利用，依法监督管理文物市场；推动非物质文化遗产的保护、传承、普及、弘扬和振兴。</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（九）负责全区各类出版物发行业务、音像制品零售业务的许可，以及出版物出租经营单位的备案，监督管理全区出版单位出版活动。</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负责对全区广播电视机构进行业务指导和行业监管，监管广播电视节目传输覆盖、广告、监测和安全播出；负责广播影视惠民项目，指导、监督应急广播体系建设；负责对网络视听节目及公共视听载体播放的广播影视节目进行监管；指导监管全区城乡电影发行、放映市场。</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一）统筹文化旅游体育市场发展，开展全区文化旅游体育市场综合执法，维护市场秩序；指导推进文化、旅游、广电、新闻出版（版权）行业意识形态工作、法治宣传和信用体系建设；依法规范文化、体育和旅游市场；负责文化旅游体育广电安全综合协调和监督管理，指导应急救援工作；负责对文化旅游体育经营单位的审核、审批、监督管理工作。</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（十二）规范文化、旅游、体育、广电、新闻出版（版权）等相关行业协会、学会等社会团体工作。</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（十三）负责制定全区文化旅游体育市场开发规划，组织叶集旅游整体形象推广；组织管理文化旅游体育对外及交流、合作和宣传、推广工作，促进文化旅游体育产业对外合作和市场推广。</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（十四）组织实施全民健身国家战略，监督实施国家体育锻炼标准，推动国民体质监测。指导公共体育设施建设，负责对公共体育设施的监督管理。</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（十五）指导协调体育竞赛、竞技运动项目设置和重点布局，组织重大体育竞赛，指导区级优秀运动队建设，协调运动员社会保障工作。</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（十六）指导协调体育产业发展，规范体育服务管理，推动体育标准化建设。负责全区体育经营活动的监管和执法工作。负责全区体育彩票销售和公益金使用、管理工作。</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（十七）完成区委、区政府交办的其他任务。</w:t>
      </w:r>
    </w:p>
    <w:p>
      <w:pPr>
        <w:keepNext w:val="0"/>
        <w:keepLines w:val="0"/>
        <w:pageBreakBefore w:val="0"/>
        <w:widowControl w:val="0"/>
        <w:kinsoku/>
        <w:wordWrap/>
        <w:overflowPunct/>
        <w:topLinePunct w:val="0"/>
        <w:autoSpaceDE w:val="0"/>
        <w:autoSpaceDN/>
        <w:bidi w:val="0"/>
        <w:adjustRightInd w:val="0"/>
        <w:snapToGrid w:val="0"/>
        <w:spacing w:beforeAutospacing="0" w:afterAutospacing="0" w:line="560" w:lineRule="exact"/>
        <w:ind w:firstLine="643" w:firstLineChars="200"/>
        <w:textAlignment w:val="auto"/>
        <w:rPr>
          <w:rFonts w:hint="eastAsia" w:ascii="Times New Roman" w:hAnsi="Times New Roman" w:cs="Times New Roman"/>
          <w:b/>
          <w:bCs/>
          <w:sz w:val="32"/>
          <w:lang w:val="en-US" w:eastAsia="zh-CN"/>
        </w:rPr>
      </w:pPr>
      <w:r>
        <w:rPr>
          <w:rFonts w:hint="eastAsia" w:ascii="Times New Roman" w:hAnsi="Times New Roman" w:cs="Times New Roman"/>
          <w:b/>
          <w:bCs/>
          <w:sz w:val="32"/>
          <w:lang w:val="en-US" w:eastAsia="zh-CN"/>
        </w:rPr>
        <w:t>2、主要内容和实施情况</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2022年文化专项经费实施范围包括全区文化相关工作。</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文化专项经费项目实施方式为通过农家书屋、送戏下乡、农村电影放映、文物保护和应急广播等工作的开展，助推区委区政府决策部署的的落地见效，进行项目实施，从而保障项目的顺利开展，丰富叶集区群众的文化生活。</w:t>
      </w:r>
    </w:p>
    <w:p>
      <w:pPr>
        <w:keepNext w:val="0"/>
        <w:keepLines w:val="0"/>
        <w:pageBreakBefore w:val="0"/>
        <w:widowControl w:val="0"/>
        <w:kinsoku/>
        <w:wordWrap/>
        <w:overflowPunct/>
        <w:topLinePunct w:val="0"/>
        <w:autoSpaceDE w:val="0"/>
        <w:autoSpaceDN/>
        <w:bidi w:val="0"/>
        <w:adjustRightInd w:val="0"/>
        <w:snapToGrid w:val="0"/>
        <w:spacing w:beforeAutospacing="0" w:afterAutospacing="0" w:line="560" w:lineRule="exact"/>
        <w:ind w:firstLine="643" w:firstLineChars="200"/>
        <w:textAlignment w:val="auto"/>
        <w:rPr>
          <w:rFonts w:hint="default" w:ascii="Times New Roman" w:hAnsi="Times New Roman" w:cs="Times New Roman"/>
          <w:b/>
          <w:bCs/>
          <w:sz w:val="32"/>
          <w:lang w:val="en-US" w:eastAsia="zh-CN"/>
        </w:rPr>
      </w:pPr>
      <w:r>
        <w:rPr>
          <w:rFonts w:hint="eastAsia" w:ascii="Times New Roman" w:hAnsi="Times New Roman" w:cs="Times New Roman"/>
          <w:b/>
          <w:bCs/>
          <w:sz w:val="32"/>
          <w:lang w:val="en-US" w:eastAsia="zh-CN"/>
        </w:rPr>
        <w:t>3、资金投入和使用情况</w:t>
      </w:r>
    </w:p>
    <w:p>
      <w:pPr>
        <w:spacing w:line="576" w:lineRule="exact"/>
        <w:ind w:firstLine="640" w:firstLineChars="200"/>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2022年文化专项经费项目预算安排资金176.271万元，全年执行数176.263万元，执行率100%。</w:t>
      </w:r>
    </w:p>
    <w:p>
      <w:pPr>
        <w:numPr>
          <w:ilvl w:val="0"/>
          <w:numId w:val="1"/>
        </w:numPr>
        <w:spacing w:line="576" w:lineRule="exact"/>
        <w:ind w:firstLine="643" w:firstLineChars="200"/>
        <w:rPr>
          <w:rFonts w:hint="eastAsia"/>
          <w:b/>
          <w:bCs/>
          <w:sz w:val="32"/>
          <w:szCs w:val="32"/>
        </w:rPr>
      </w:pPr>
      <w:r>
        <w:rPr>
          <w:rFonts w:hint="eastAsia"/>
          <w:b/>
          <w:bCs/>
          <w:sz w:val="32"/>
          <w:szCs w:val="32"/>
        </w:rPr>
        <w:t>项目绩效目标</w:t>
      </w:r>
    </w:p>
    <w:p>
      <w:pPr>
        <w:keepNext w:val="0"/>
        <w:keepLines w:val="0"/>
        <w:pageBreakBefore w:val="0"/>
        <w:widowControl w:val="0"/>
        <w:kinsoku/>
        <w:wordWrap/>
        <w:overflowPunct/>
        <w:topLinePunct w:val="0"/>
        <w:autoSpaceDE w:val="0"/>
        <w:autoSpaceDN/>
        <w:bidi w:val="0"/>
        <w:adjustRightInd w:val="0"/>
        <w:snapToGrid w:val="0"/>
        <w:spacing w:beforeAutospacing="0" w:afterAutospacing="0" w:line="560" w:lineRule="exact"/>
        <w:ind w:firstLine="643" w:firstLineChars="200"/>
        <w:textAlignment w:val="auto"/>
        <w:rPr>
          <w:rFonts w:hint="eastAsia" w:ascii="Times New Roman" w:hAnsi="Times New Roman" w:cs="Times New Roman"/>
          <w:b/>
          <w:bCs/>
          <w:sz w:val="32"/>
          <w:lang w:val="en-US" w:eastAsia="zh-CN"/>
        </w:rPr>
      </w:pPr>
      <w:r>
        <w:rPr>
          <w:rFonts w:hint="eastAsia" w:ascii="Times New Roman" w:hAnsi="Times New Roman" w:cs="Times New Roman"/>
          <w:b/>
          <w:bCs/>
          <w:sz w:val="32"/>
          <w:lang w:val="en-US" w:eastAsia="zh-CN"/>
        </w:rPr>
        <w:t>1、总体目标</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2022年文化专项经费的总体目标为完成全年度文化工作任务、办好文化活动等任务，确保文化工作各阶段具体任务的落实，提升群众参与文化活动积极性。</w:t>
      </w:r>
    </w:p>
    <w:p>
      <w:pPr>
        <w:keepNext w:val="0"/>
        <w:keepLines w:val="0"/>
        <w:pageBreakBefore w:val="0"/>
        <w:widowControl w:val="0"/>
        <w:numPr>
          <w:ilvl w:val="0"/>
          <w:numId w:val="2"/>
        </w:numPr>
        <w:kinsoku/>
        <w:wordWrap/>
        <w:overflowPunct/>
        <w:topLinePunct w:val="0"/>
        <w:autoSpaceDE w:val="0"/>
        <w:autoSpaceDN/>
        <w:bidi w:val="0"/>
        <w:adjustRightInd w:val="0"/>
        <w:snapToGrid w:val="0"/>
        <w:spacing w:beforeAutospacing="0" w:afterAutospacing="0" w:line="560" w:lineRule="exact"/>
        <w:ind w:firstLine="643" w:firstLineChars="200"/>
        <w:textAlignment w:val="auto"/>
        <w:rPr>
          <w:rFonts w:hint="eastAsia" w:ascii="Times New Roman" w:hAnsi="Times New Roman" w:cs="Times New Roman"/>
          <w:b/>
          <w:bCs/>
          <w:sz w:val="32"/>
          <w:lang w:val="en-US" w:eastAsia="zh-CN"/>
        </w:rPr>
      </w:pPr>
      <w:r>
        <w:rPr>
          <w:rFonts w:hint="eastAsia" w:ascii="Times New Roman" w:hAnsi="Times New Roman" w:cs="Times New Roman"/>
          <w:b/>
          <w:bCs/>
          <w:sz w:val="32"/>
          <w:lang w:val="en-US" w:eastAsia="zh-CN"/>
        </w:rPr>
        <w:t>阶段性目标</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全区文化相关工作进度明显，区委区政府决策的部署得到明显跟进。</w:t>
      </w:r>
    </w:p>
    <w:p>
      <w:pPr>
        <w:spacing w:line="576" w:lineRule="exact"/>
        <w:ind w:firstLine="640" w:firstLineChars="200"/>
        <w:rPr>
          <w:rFonts w:hint="default" w:ascii="仿宋_GB2312" w:hAnsi="仿宋_GB2312" w:eastAsia="仿宋_GB2312" w:cs="仿宋_GB2312"/>
          <w:color w:val="000000"/>
          <w:kern w:val="0"/>
          <w:sz w:val="32"/>
          <w:szCs w:val="32"/>
          <w:lang w:val="en-US" w:eastAsia="zh-CN" w:bidi="ar-SA"/>
        </w:rPr>
      </w:pPr>
    </w:p>
    <w:p>
      <w:pPr>
        <w:spacing w:line="576" w:lineRule="exact"/>
        <w:ind w:firstLine="640" w:firstLineChars="200"/>
        <w:rPr>
          <w:rFonts w:hint="eastAsia" w:eastAsia="黑体"/>
          <w:sz w:val="32"/>
          <w:szCs w:val="32"/>
        </w:rPr>
      </w:pPr>
      <w:r>
        <w:rPr>
          <w:rFonts w:hint="eastAsia" w:eastAsia="黑体"/>
          <w:sz w:val="32"/>
          <w:szCs w:val="32"/>
        </w:rPr>
        <w:t>二、绩效评价工作开展情况</w:t>
      </w:r>
    </w:p>
    <w:p>
      <w:pPr>
        <w:spacing w:line="576" w:lineRule="exact"/>
        <w:ind w:firstLine="643" w:firstLineChars="200"/>
        <w:rPr>
          <w:rFonts w:hint="eastAsia"/>
          <w:sz w:val="32"/>
          <w:szCs w:val="32"/>
        </w:rPr>
      </w:pPr>
      <w:r>
        <w:rPr>
          <w:rFonts w:hint="eastAsia" w:ascii="Times New Roman" w:hAnsi="Times New Roman" w:cs="Times New Roman"/>
          <w:b/>
          <w:bCs/>
          <w:sz w:val="32"/>
          <w:szCs w:val="32"/>
          <w:lang w:val="en-US" w:eastAsia="zh-CN"/>
        </w:rPr>
        <w:t>（一）绩效评价目的、对象和范围</w:t>
      </w:r>
    </w:p>
    <w:p>
      <w:pPr>
        <w:spacing w:line="576" w:lineRule="exact"/>
        <w:ind w:firstLine="643" w:firstLineChars="200"/>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1、绩效评价的目的</w:t>
      </w:r>
    </w:p>
    <w:p>
      <w:pPr>
        <w:spacing w:line="576" w:lineRule="exact"/>
        <w:ind w:firstLine="640" w:firstLineChars="200"/>
        <w:rPr>
          <w:rFonts w:hint="eastAsia" w:ascii="Times New Roman" w:hAnsi="Times New Roman" w:cs="Times New Roman"/>
          <w:sz w:val="32"/>
          <w:szCs w:val="32"/>
          <w:lang w:val="en-US" w:eastAsia="zh-CN"/>
        </w:rPr>
      </w:pPr>
      <w:r>
        <w:rPr>
          <w:rFonts w:hint="eastAsia" w:ascii="仿宋_GB2312" w:hAnsi="仿宋_GB2312" w:eastAsia="仿宋_GB2312" w:cs="仿宋_GB2312"/>
          <w:color w:val="000000"/>
          <w:kern w:val="0"/>
          <w:sz w:val="32"/>
          <w:szCs w:val="32"/>
          <w:lang w:val="en-US" w:eastAsia="zh-CN" w:bidi="ar-SA"/>
        </w:rPr>
        <w:t>财政支出绩效评价是政府绩效管理的重要组成部分，选择合适的评价指标和标准，运用科学的评价方法，对2022年财政专项资金使用全过程及其支出的经济性、效率性和效益性进行客观公正的综合评价，以衡量财政资金的使用绩效，分析检验支出项目是否达到预期目标。同时，及时总结经验，分析存在问题，进一步改进和加强支出项目管理，提高该专项资金的使用效益</w:t>
      </w:r>
      <w:r>
        <w:rPr>
          <w:rFonts w:hint="eastAsia" w:ascii="Times New Roman" w:hAnsi="Times New Roman" w:cs="Times New Roman"/>
          <w:sz w:val="32"/>
          <w:szCs w:val="32"/>
          <w:lang w:val="en-US" w:eastAsia="zh-CN"/>
        </w:rPr>
        <w:t>。</w:t>
      </w:r>
    </w:p>
    <w:p>
      <w:pPr>
        <w:spacing w:line="576" w:lineRule="exact"/>
        <w:ind w:firstLine="643" w:firstLineChars="200"/>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2、绩效评价对象和范围</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绩效评价对象：六安市叶集区文化旅游体育局文化专项经费。</w:t>
      </w:r>
    </w:p>
    <w:p>
      <w:pPr>
        <w:spacing w:line="576" w:lineRule="exact"/>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绩效评价范围：项目的决策情况、资金管理和使用情况、相关管理制度办法的健全性及执行情况、实现的产出情况、取得的效益情况、其他相关内容。</w:t>
      </w:r>
    </w:p>
    <w:p>
      <w:pPr>
        <w:numPr>
          <w:ilvl w:val="0"/>
          <w:numId w:val="0"/>
        </w:numPr>
        <w:spacing w:line="576" w:lineRule="exact"/>
        <w:ind w:leftChars="200"/>
        <w:rPr>
          <w:rFonts w:hint="eastAsia"/>
          <w:b/>
          <w:bCs/>
          <w:sz w:val="32"/>
          <w:szCs w:val="32"/>
        </w:rPr>
      </w:pPr>
      <w:r>
        <w:rPr>
          <w:rFonts w:hint="eastAsia"/>
          <w:b/>
          <w:bCs/>
          <w:sz w:val="32"/>
          <w:szCs w:val="32"/>
          <w:lang w:eastAsia="zh-CN"/>
        </w:rPr>
        <w:t>（二）</w:t>
      </w:r>
      <w:r>
        <w:rPr>
          <w:rFonts w:hint="eastAsia"/>
          <w:b/>
          <w:bCs/>
          <w:sz w:val="32"/>
          <w:szCs w:val="32"/>
        </w:rPr>
        <w:t>绩效评价原则、评价指标体系、评价标准</w:t>
      </w:r>
      <w:r>
        <w:rPr>
          <w:rFonts w:hint="eastAsia"/>
          <w:b/>
          <w:bCs/>
          <w:sz w:val="32"/>
          <w:szCs w:val="32"/>
          <w:lang w:eastAsia="zh-CN"/>
        </w:rPr>
        <w:t>及方法、绩效评价工作过程</w:t>
      </w:r>
    </w:p>
    <w:p>
      <w:pPr>
        <w:spacing w:line="576" w:lineRule="exact"/>
        <w:ind w:firstLine="643" w:firstLineChars="200"/>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1、绩效评价原则</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（1）科学公正。绩效评价应当运用科学合理的方法，按照规范的程序，对项目绩效进行客观、公正的反映。</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（3）激励约束。绩效评价结果应与预算安排、政策调整、改进管理实质性挂钩，体现奖优罚劣和激励相容导向，有效要安排、低效要压减、无效要问责。</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（4）公开透明。绩效评价结果应依法依规公开，并自觉接受社会监督。</w:t>
      </w:r>
    </w:p>
    <w:p>
      <w:pPr>
        <w:spacing w:line="576" w:lineRule="exact"/>
        <w:ind w:firstLine="643" w:firstLineChars="200"/>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2、评价指标体系</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评价指标体系依据六安市财政局制定的《绩效评价指标体系框架》确定,分为四大部分，即预算执行率、产出、效益和满意度四个方面对评价指标体系进行逐步分解，评价采取百分制制的计分方式。根据项目支出的实际情况，针对项目特点及各指标难度、类别考评内容，并参考了评价小组及被评价单位的意见，最终确定各个指标相对于总体绩效的权重分值，预算执行率权重值10%，产出权重值为50%，效益权重值为30%，满意度权重值为10%。</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执行率10分，该部分反映项目实施单位资金落实情况；产出标准分50分，该部分反映项目实施单位的实际完成、质量达标情况；效益标准分30分，该部分反映项目社会效益情况；满意度标准分10分，该部分反映项目服务对象满意度情况。</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评分方法：项目绩效评价结果分4个等级，90-100分为优秀、80-89分为良好、70-79分为一般、60分以下为差。</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 3．评价方法</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（1）以项目为评价对象，由被评价单位承担撰写项目支出绩效自评报告。</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（2）组织绩效评价工作组在评价单位绩效自评报告的基础上，对照评价指标和计分标准进行评价，对项目支出的实施情况进行核查，核实相关信息并量化评分，形成项目支出绩效评价表和绩效评价报告。</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（3）采用现场核查评定和专家评议相结合、定量与定性相结合、被评价单位自评与第三方评价相结合的方法。</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4．评价标准</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（1）计划标准：以预先制定的目标、计划、预算、定额等数据作为评价标准。</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（2）行业标准：参照国家、本省、市、县公布的相关行业评价标准。</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（3）历史标准：同类指标采用历史数据制定的评价标准。</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（4）其他标准：经财政部门确认的其他标准。</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（三）</w:t>
      </w:r>
      <w:r>
        <w:rPr>
          <w:rFonts w:hint="eastAsia" w:ascii="仿宋_GB2312" w:hAnsi="仿宋_GB2312" w:eastAsia="仿宋_GB2312" w:cs="仿宋_GB2312"/>
          <w:b/>
          <w:bCs/>
          <w:sz w:val="32"/>
          <w:szCs w:val="32"/>
          <w:lang w:val="en-US" w:eastAsia="zh-CN"/>
        </w:rPr>
        <w:t>绩效评价工作过程</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六安市叶集区文化旅游体育局严格按照要求开展项目自评工作，按照年初设定的目标，根据其实际完成情况，并通过数据分析对项目进行评价，并撰写完成绩效评价报告。</w:t>
      </w:r>
    </w:p>
    <w:p>
      <w:pPr>
        <w:numPr>
          <w:ilvl w:val="0"/>
          <w:numId w:val="3"/>
        </w:numPr>
        <w:spacing w:line="576" w:lineRule="exact"/>
        <w:ind w:firstLine="640" w:firstLineChars="200"/>
        <w:rPr>
          <w:rFonts w:hint="eastAsia" w:eastAsia="黑体"/>
          <w:sz w:val="32"/>
          <w:szCs w:val="32"/>
          <w:highlight w:val="none"/>
        </w:rPr>
      </w:pPr>
      <w:r>
        <w:rPr>
          <w:rFonts w:hint="eastAsia" w:eastAsia="黑体"/>
          <w:sz w:val="32"/>
          <w:szCs w:val="32"/>
          <w:highlight w:val="none"/>
        </w:rPr>
        <w:t>综合评价情况及评价结论</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情况：“文化专项经费”绩效评价综合得分为100分，评价等级为“优”。其中，预算执行率为10分，得分为10分，得分率为100.00%；产出指标为50分，得分为50分，得分率为100.00%；效益指标为30分，得分为30分，得分率为100%；满意度指标为10分，得分为10分，得分率为100.00%。</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1953"/>
        <w:gridCol w:w="1195"/>
        <w:gridCol w:w="1574"/>
        <w:gridCol w:w="1574"/>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w:t>
            </w:r>
          </w:p>
        </w:tc>
        <w:tc>
          <w:tcPr>
            <w:tcW w:w="1953" w:type="dxa"/>
            <w:vAlign w:val="center"/>
          </w:tcPr>
          <w:p>
            <w:pPr>
              <w:jc w:val="both"/>
              <w:rPr>
                <w:rFonts w:hint="eastAsia" w:ascii="仿宋" w:hAnsi="仿宋" w:eastAsia="仿宋" w:cs="仿宋"/>
                <w:sz w:val="28"/>
                <w:szCs w:val="28"/>
                <w:lang w:val="en-US" w:eastAsia="zh-CN"/>
              </w:rPr>
            </w:pPr>
            <w:r>
              <w:rPr>
                <w:rFonts w:hint="eastAsia" w:ascii="仿宋_GB2312" w:hAnsi="仿宋_GB2312" w:eastAsia="仿宋_GB2312" w:cs="仿宋_GB2312"/>
                <w:sz w:val="32"/>
                <w:szCs w:val="32"/>
                <w:lang w:val="en-US" w:eastAsia="zh-CN"/>
              </w:rPr>
              <w:t>预算执行率</w:t>
            </w:r>
          </w:p>
        </w:tc>
        <w:tc>
          <w:tcPr>
            <w:tcW w:w="1195"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产出</w:t>
            </w:r>
          </w:p>
        </w:tc>
        <w:tc>
          <w:tcPr>
            <w:tcW w:w="1574" w:type="dxa"/>
            <w:vAlign w:val="center"/>
          </w:tcPr>
          <w:p>
            <w:pPr>
              <w:ind w:firstLine="280" w:firstLineChars="1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效益</w:t>
            </w:r>
          </w:p>
        </w:tc>
        <w:tc>
          <w:tcPr>
            <w:tcW w:w="1574"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满意度</w:t>
            </w:r>
          </w:p>
        </w:tc>
        <w:tc>
          <w:tcPr>
            <w:tcW w:w="1574"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分值</w:t>
            </w:r>
          </w:p>
        </w:tc>
        <w:tc>
          <w:tcPr>
            <w:tcW w:w="1953" w:type="dxa"/>
            <w:vAlign w:val="center"/>
          </w:tcPr>
          <w:p>
            <w:pPr>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195"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50</w:t>
            </w:r>
          </w:p>
        </w:tc>
        <w:tc>
          <w:tcPr>
            <w:tcW w:w="1574" w:type="dxa"/>
            <w:vAlign w:val="center"/>
          </w:tcPr>
          <w:p>
            <w:pPr>
              <w:ind w:firstLine="280" w:firstLineChars="1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30</w:t>
            </w:r>
          </w:p>
        </w:tc>
        <w:tc>
          <w:tcPr>
            <w:tcW w:w="1574" w:type="dxa"/>
            <w:vAlign w:val="center"/>
          </w:tcPr>
          <w:p>
            <w:pPr>
              <w:ind w:firstLine="280" w:firstLineChars="1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574" w:type="dxa"/>
            <w:vAlign w:val="center"/>
          </w:tcPr>
          <w:p>
            <w:pPr>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0"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得分</w:t>
            </w:r>
          </w:p>
        </w:tc>
        <w:tc>
          <w:tcPr>
            <w:tcW w:w="1953" w:type="dxa"/>
            <w:vAlign w:val="center"/>
          </w:tcPr>
          <w:p>
            <w:pPr>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195" w:type="dxa"/>
            <w:vAlign w:val="center"/>
          </w:tcPr>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50</w:t>
            </w:r>
          </w:p>
        </w:tc>
        <w:tc>
          <w:tcPr>
            <w:tcW w:w="1574" w:type="dxa"/>
            <w:vAlign w:val="center"/>
          </w:tcPr>
          <w:p>
            <w:pPr>
              <w:ind w:firstLine="280" w:firstLineChars="1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30</w:t>
            </w:r>
          </w:p>
        </w:tc>
        <w:tc>
          <w:tcPr>
            <w:tcW w:w="1574" w:type="dxa"/>
            <w:vAlign w:val="center"/>
          </w:tcPr>
          <w:p>
            <w:pPr>
              <w:ind w:firstLine="280" w:firstLineChars="1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574" w:type="dxa"/>
            <w:vAlign w:val="center"/>
          </w:tcPr>
          <w:p>
            <w:pPr>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100</w:t>
            </w:r>
          </w:p>
        </w:tc>
      </w:tr>
    </w:tbl>
    <w:p>
      <w:pPr>
        <w:spacing w:line="576" w:lineRule="exact"/>
        <w:rPr>
          <w:rFonts w:hint="eastAsia" w:eastAsia="黑体"/>
          <w:sz w:val="32"/>
          <w:szCs w:val="32"/>
        </w:rPr>
      </w:pPr>
    </w:p>
    <w:p>
      <w:pPr>
        <w:numPr>
          <w:ilvl w:val="0"/>
          <w:numId w:val="3"/>
        </w:numPr>
        <w:spacing w:line="576" w:lineRule="exact"/>
        <w:ind w:left="0" w:leftChars="0" w:firstLine="640" w:firstLineChars="200"/>
        <w:rPr>
          <w:rFonts w:hint="eastAsia" w:eastAsia="黑体"/>
          <w:sz w:val="32"/>
          <w:szCs w:val="32"/>
        </w:rPr>
      </w:pPr>
      <w:r>
        <w:rPr>
          <w:rFonts w:hint="eastAsia" w:eastAsia="黑体"/>
          <w:sz w:val="32"/>
          <w:szCs w:val="32"/>
        </w:rPr>
        <w:t>绩效评价指标分析</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（一）项目决策情况</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采用现场核查评定和专家评议相结合、定量与定性相结合与第三方评价相结合的方法。</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（二）项目过程情况</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过程共分四个阶段，即准备阶段：确定评价任务、确定评价任务的实施模式、编制评价任务大纲；设计阶段:前期准备、确定绩效评价框架、形成评价实施方案；实施阶段：证据收集、证据整理、证据分析、专家意见、形成评估结论经验教训和建议；最后将结果反馈、应用和公开。</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（三）项目产出情况</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2022年文化专项经费项目预算安排资金176.271万元，全年执行数176.263万元，执行率100%。项目产出效果优秀。</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cs="仿宋_GB2312"/>
          <w:b/>
          <w:bCs/>
          <w:sz w:val="32"/>
          <w:szCs w:val="32"/>
          <w:lang w:val="en-US" w:eastAsia="zh-CN"/>
        </w:rPr>
      </w:pPr>
      <w:r>
        <w:rPr>
          <w:rFonts w:hint="eastAsia" w:ascii="仿宋_GB2312" w:hAnsi="仿宋_GB2312" w:cs="仿宋_GB2312"/>
          <w:b/>
          <w:bCs/>
          <w:sz w:val="32"/>
          <w:szCs w:val="32"/>
          <w:lang w:val="en-US" w:eastAsia="zh-CN"/>
        </w:rPr>
        <w:t>（四）项目效益情况</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我单位严格把控资金支出的规范性及合理性，更好完成全区文化相关工作，助推区委区政府决策部署的的落地见效，成效明显。</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eastAsia" w:ascii="Times New Roman" w:hAnsi="Times New Roman" w:eastAsia="黑体" w:cs="Times New Roman"/>
          <w:sz w:val="32"/>
          <w:szCs w:val="32"/>
        </w:rPr>
        <w:t>主要经验及做法</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2022年六安市叶集区文化旅游体育局对各项经费的开展进行了严格把关，规范支出手续，严格财政纪律，较好的完成了各项工作任务，确保了各项工作的有序推进。</w:t>
      </w:r>
    </w:p>
    <w:p>
      <w:pPr>
        <w:numPr>
          <w:ilvl w:val="0"/>
          <w:numId w:val="0"/>
        </w:numPr>
        <w:spacing w:line="576" w:lineRule="exact"/>
        <w:ind w:firstLine="640" w:firstLineChars="200"/>
        <w:rPr>
          <w:rFonts w:hint="eastAsia" w:eastAsia="黑体"/>
          <w:sz w:val="32"/>
          <w:szCs w:val="32"/>
        </w:rPr>
      </w:pPr>
      <w:r>
        <w:rPr>
          <w:rFonts w:hint="eastAsia" w:eastAsia="黑体"/>
          <w:sz w:val="32"/>
          <w:szCs w:val="32"/>
          <w:lang w:eastAsia="zh-CN"/>
        </w:rPr>
        <w:t>六、</w:t>
      </w:r>
      <w:r>
        <w:rPr>
          <w:rFonts w:hint="eastAsia" w:eastAsia="黑体"/>
          <w:sz w:val="32"/>
          <w:szCs w:val="32"/>
        </w:rPr>
        <w:t>存在问题及原因分析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无</w:t>
      </w:r>
    </w:p>
    <w:p>
      <w:pPr>
        <w:numPr>
          <w:ilvl w:val="0"/>
          <w:numId w:val="0"/>
        </w:numPr>
        <w:spacing w:line="576" w:lineRule="exact"/>
        <w:ind w:firstLine="640" w:firstLineChars="200"/>
        <w:rPr>
          <w:rFonts w:hint="eastAsia" w:eastAsia="黑体"/>
          <w:sz w:val="32"/>
          <w:szCs w:val="32"/>
        </w:rPr>
      </w:pPr>
      <w:r>
        <w:rPr>
          <w:rFonts w:hint="eastAsia" w:eastAsia="黑体"/>
          <w:sz w:val="32"/>
          <w:szCs w:val="32"/>
          <w:lang w:eastAsia="zh-CN"/>
        </w:rPr>
        <w:t>七、</w:t>
      </w:r>
      <w:r>
        <w:rPr>
          <w:rFonts w:hint="eastAsia" w:eastAsia="黑体"/>
          <w:sz w:val="32"/>
          <w:szCs w:val="32"/>
        </w:rPr>
        <w:t>有关建议</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后我单位将加强对预算资金支付情况的定期整理并在会议通报进度情况，加强各部门对资金支付进度的把握，加快资金拨付进度和项目实施进度，为后续绩效目标的有效实现提供有力支撑。同时财政部门应加强对绩效工作人员进行相关的培训及指导，从而使绩效工作更加完善。</w:t>
      </w: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textAlignment w:val="auto"/>
        <w:rPr>
          <w:rFonts w:hint="eastAsia" w:ascii="仿宋_GB2312" w:hAnsi="仿宋_GB2312" w:eastAsia="仿宋_GB2312" w:cs="仿宋_GB2312"/>
          <w:sz w:val="32"/>
          <w:szCs w:val="32"/>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1760" w:firstLineChars="400"/>
        <w:jc w:val="both"/>
        <w:textAlignment w:val="auto"/>
        <w:rPr>
          <w:rFonts w:hint="eastAsia" w:ascii="方正小标宋简体" w:hAnsi="方正小标宋简体" w:eastAsia="方正小标宋简体" w:cs="方正小标宋简体"/>
          <w:sz w:val="44"/>
          <w:szCs w:val="44"/>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1760" w:firstLineChars="400"/>
        <w:jc w:val="both"/>
        <w:textAlignment w:val="auto"/>
        <w:rPr>
          <w:rFonts w:hint="eastAsia" w:ascii="方正小标宋简体" w:hAnsi="方正小标宋简体" w:eastAsia="方正小标宋简体" w:cs="方正小标宋简体"/>
          <w:sz w:val="44"/>
          <w:szCs w:val="44"/>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ind w:firstLine="1760" w:firstLineChars="400"/>
        <w:jc w:val="both"/>
        <w:textAlignment w:val="auto"/>
        <w:rPr>
          <w:rFonts w:hint="eastAsia" w:ascii="方正小标宋简体" w:hAnsi="方正小标宋简体" w:eastAsia="方正小标宋简体" w:cs="方正小标宋简体"/>
          <w:sz w:val="44"/>
          <w:szCs w:val="44"/>
          <w:lang w:val="en-US" w:eastAsia="zh-CN"/>
        </w:rPr>
      </w:pPr>
    </w:p>
    <w:p>
      <w:pPr>
        <w:pStyle w:val="8"/>
        <w:keepNext w:val="0"/>
        <w:keepLines w:val="0"/>
        <w:pageBreakBefore w:val="0"/>
        <w:widowControl w:val="0"/>
        <w:kinsoku/>
        <w:wordWrap/>
        <w:overflowPunct/>
        <w:topLinePunct w:val="0"/>
        <w:autoSpaceDE w:val="0"/>
        <w:autoSpaceDN w:val="0"/>
        <w:bidi w:val="0"/>
        <w:adjustRightInd w:val="0"/>
        <w:snapToGrid/>
        <w:spacing w:line="500" w:lineRule="exact"/>
        <w:ind w:firstLine="1320" w:firstLineChars="300"/>
        <w:jc w:val="both"/>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六安市叶集区文化旅游体育局</w:t>
      </w:r>
    </w:p>
    <w:p>
      <w:pPr>
        <w:pStyle w:val="8"/>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2022年文化专项经费项目绩效评价指标评分表</w:t>
      </w:r>
    </w:p>
    <w:tbl>
      <w:tblPr>
        <w:tblStyle w:val="5"/>
        <w:tblW w:w="8780" w:type="dxa"/>
        <w:tblInd w:w="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05"/>
        <w:gridCol w:w="1425"/>
        <w:gridCol w:w="2880"/>
        <w:gridCol w:w="1545"/>
        <w:gridCol w:w="2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425"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2880"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指标分值</w:t>
            </w:r>
          </w:p>
        </w:tc>
        <w:tc>
          <w:tcPr>
            <w:tcW w:w="20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4" w:hRule="atLeast"/>
        </w:trPr>
        <w:tc>
          <w:tcPr>
            <w:tcW w:w="521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预算执行率（10分）</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0" w:hRule="atLeast"/>
        </w:trPr>
        <w:tc>
          <w:tcPr>
            <w:tcW w:w="905"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产出指标(50分)</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数量指标</w:t>
            </w:r>
          </w:p>
        </w:tc>
        <w:tc>
          <w:tcPr>
            <w:tcW w:w="2880"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举办群众活动次数、电影放映次数、全民阅读活动开展次数、文化人才补助人数、社区综合文化服务中心数量、年度应急广播维护数量、老电影放映员人数、年度举办文化惠民活动次数、县级文物保护单位</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6" w:hRule="atLeast"/>
        </w:trPr>
        <w:tc>
          <w:tcPr>
            <w:tcW w:w="905" w:type="dxa"/>
            <w:vMerge w:val="continue"/>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质量指标</w:t>
            </w:r>
          </w:p>
        </w:tc>
        <w:tc>
          <w:tcPr>
            <w:tcW w:w="28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各项活动圆满举办率</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4" w:hRule="atLeast"/>
        </w:trPr>
        <w:tc>
          <w:tcPr>
            <w:tcW w:w="905" w:type="dxa"/>
            <w:vMerge w:val="continue"/>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时效指标</w:t>
            </w:r>
          </w:p>
        </w:tc>
        <w:tc>
          <w:tcPr>
            <w:tcW w:w="28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项目实施时间</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2" w:hRule="atLeast"/>
        </w:trPr>
        <w:tc>
          <w:tcPr>
            <w:tcW w:w="905" w:type="dxa"/>
            <w:vMerge w:val="continue"/>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成本指标</w:t>
            </w:r>
          </w:p>
        </w:tc>
        <w:tc>
          <w:tcPr>
            <w:tcW w:w="28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各项目总成本</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0" w:hRule="atLeast"/>
        </w:trPr>
        <w:tc>
          <w:tcPr>
            <w:tcW w:w="905"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效益指标(30分)</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社会效益指标</w:t>
            </w:r>
          </w:p>
        </w:tc>
        <w:tc>
          <w:tcPr>
            <w:tcW w:w="2880"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对提升群众参与文化活动积极性的影响程度、对减少文物安全隐患，保护文物安全完整的影响</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05" w:type="dxa"/>
            <w:vMerge w:val="continue"/>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可持续影响指标</w:t>
            </w:r>
          </w:p>
        </w:tc>
        <w:tc>
          <w:tcPr>
            <w:tcW w:w="2880"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对历史文物文化研究的可持续影响、项目实施是否建立健全长效保障机制</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1" w:hRule="atLeast"/>
        </w:trPr>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满意度指标(10分)</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w:t>
            </w:r>
          </w:p>
        </w:tc>
        <w:tc>
          <w:tcPr>
            <w:tcW w:w="28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社会公众满意度 </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1" w:hRule="atLeast"/>
        </w:trPr>
        <w:tc>
          <w:tcPr>
            <w:tcW w:w="521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15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c>
          <w:tcPr>
            <w:tcW w:w="2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w:t>
            </w:r>
          </w:p>
        </w:tc>
      </w:tr>
    </w:tbl>
    <w:p>
      <w:pPr>
        <w:pStyle w:val="2"/>
        <w:ind w:left="0" w:leftChars="0" w:firstLine="0" w:firstLineChars="0"/>
        <w:rPr>
          <w:rFonts w:hint="eastAsia" w:ascii="宋体" w:hAnsi="宋体" w:eastAsia="宋体" w:cs="宋体"/>
          <w:i w:val="0"/>
          <w:iCs w:val="0"/>
          <w:color w:val="000000"/>
          <w:kern w:val="0"/>
          <w:sz w:val="21"/>
          <w:szCs w:val="21"/>
          <w:u w:val="none"/>
          <w:lang w:val="en-US" w:eastAsia="zh-CN" w:bidi="ar"/>
        </w:rPr>
      </w:pPr>
    </w:p>
    <w:p>
      <w:pPr>
        <w:pStyle w:val="8"/>
        <w:keepNext w:val="0"/>
        <w:keepLines w:val="0"/>
        <w:pageBreakBefore w:val="0"/>
        <w:widowControl w:val="0"/>
        <w:kinsoku/>
        <w:wordWrap/>
        <w:overflowPunct/>
        <w:topLinePunct w:val="0"/>
        <w:autoSpaceDE w:val="0"/>
        <w:autoSpaceDN w:val="0"/>
        <w:bidi w:val="0"/>
        <w:adjustRightInd w:val="0"/>
        <w:snapToGrid/>
        <w:spacing w:line="576" w:lineRule="exact"/>
        <w:jc w:val="center"/>
        <w:textAlignment w:val="auto"/>
        <w:rPr>
          <w:rFonts w:hint="default" w:ascii="仿宋_GB2312" w:hAnsi="仿宋_GB2312" w:eastAsia="仿宋_GB2312" w:cs="仿宋_GB2312"/>
          <w:sz w:val="32"/>
          <w:szCs w:val="32"/>
          <w:lang w:val="en-US" w:eastAsia="zh-CN"/>
        </w:rPr>
      </w:pPr>
    </w:p>
    <w:sectPr>
      <w:footerReference r:id="rId3" w:type="default"/>
      <w:pgSz w:w="11906" w:h="16838"/>
      <w:pgMar w:top="2098" w:right="1531" w:bottom="1985" w:left="1531" w:header="851" w:footer="1361"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15" w:leftChars="150" w:right="315" w:rightChars="150"/>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3</w:t>
    </w:r>
    <w:r>
      <w:rPr>
        <w:sz w:val="28"/>
        <w:szCs w:val="28"/>
      </w:rPr>
      <w:fldChar w:fldCharType="end"/>
    </w:r>
    <w:r>
      <w:rPr>
        <w:rFonts w:hint="eastAsia"/>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8657F"/>
    <w:multiLevelType w:val="singleLevel"/>
    <w:tmpl w:val="9D78657F"/>
    <w:lvl w:ilvl="0" w:tentative="0">
      <w:start w:val="2"/>
      <w:numFmt w:val="decimal"/>
      <w:suff w:val="nothing"/>
      <w:lvlText w:val="%1、"/>
      <w:lvlJc w:val="left"/>
    </w:lvl>
  </w:abstractNum>
  <w:abstractNum w:abstractNumId="1">
    <w:nsid w:val="E3E4D77F"/>
    <w:multiLevelType w:val="singleLevel"/>
    <w:tmpl w:val="E3E4D77F"/>
    <w:lvl w:ilvl="0" w:tentative="0">
      <w:start w:val="2"/>
      <w:numFmt w:val="chineseCounting"/>
      <w:suff w:val="nothing"/>
      <w:lvlText w:val="（%1）"/>
      <w:lvlJc w:val="left"/>
      <w:rPr>
        <w:rFonts w:hint="eastAsia"/>
      </w:rPr>
    </w:lvl>
  </w:abstractNum>
  <w:abstractNum w:abstractNumId="2">
    <w:nsid w:val="F7E629A9"/>
    <w:multiLevelType w:val="singleLevel"/>
    <w:tmpl w:val="F7E629A9"/>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MTU0MGQ3MWM2ZTYzOGQxZDg2YjVkYjNiNmM2ODEifQ=="/>
  </w:docVars>
  <w:rsids>
    <w:rsidRoot w:val="705F7FAB"/>
    <w:rsid w:val="0BDF0D00"/>
    <w:rsid w:val="1976231B"/>
    <w:rsid w:val="1EF71B3F"/>
    <w:rsid w:val="23955CE8"/>
    <w:rsid w:val="2D756051"/>
    <w:rsid w:val="2FA0047D"/>
    <w:rsid w:val="345E310E"/>
    <w:rsid w:val="385A51D6"/>
    <w:rsid w:val="3AEC1734"/>
    <w:rsid w:val="3C532942"/>
    <w:rsid w:val="4BEC0CF9"/>
    <w:rsid w:val="62605C70"/>
    <w:rsid w:val="698569DF"/>
    <w:rsid w:val="705F7FAB"/>
    <w:rsid w:val="7ACC1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2"/>
      <w:lang w:val="en-US" w:eastAsia="zh-CN" w:bidi="ar-SA"/>
    </w:rPr>
  </w:style>
  <w:style w:type="paragraph" w:styleId="3">
    <w:name w:val="heading 2"/>
    <w:basedOn w:val="1"/>
    <w:next w:val="1"/>
    <w:qFormat/>
    <w:uiPriority w:val="99"/>
    <w:pPr>
      <w:keepNext/>
      <w:keepLines/>
      <w:widowControl w:val="0"/>
      <w:spacing w:before="260" w:after="260"/>
      <w:jc w:val="center"/>
      <w:outlineLvl w:val="1"/>
    </w:pPr>
    <w:rPr>
      <w:rFonts w:eastAsia="华文中宋" w:cs="Times New Roman"/>
      <w:b/>
      <w:bCs/>
      <w:szCs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Calibri" w:hAnsi="Calibri" w:eastAsia="宋体" w:cs="Times New Roman"/>
      <w:sz w:val="21"/>
      <w:szCs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4174</Words>
  <Characters>4325</Characters>
  <Lines>0</Lines>
  <Paragraphs>0</Paragraphs>
  <TotalTime>2</TotalTime>
  <ScaleCrop>false</ScaleCrop>
  <LinksUpToDate>false</LinksUpToDate>
  <CharactersWithSpaces>4328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2023-03-23T08:32:00Z</dcterms:created>
  <dc:creator>仙女味的老污婆</dc:creator>
  <cp:lastModifiedBy>未定义</cp:lastModifiedBy>
  <cp:lastPrinted>2023-05-22T09:15:00Z</cp:lastPrinted>
  <dcterms:modified xsi:type="dcterms:W3CDTF">2023-05-22T09:55:11Z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94018DCE61744C0390B31C1AFB906338_13</vt:lpwstr>
  </property>
</Properties>
</file>