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67pt;margin-top:219.55pt;height:93.5pt;width:442.8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" w:line="219" w:lineRule="auto"/>
                    <w:rPr>
                      <w:rFonts w:ascii="宋体" w:hAnsi="宋体" w:eastAsia="宋体" w:cs="宋体"/>
                      <w:sz w:val="154"/>
                      <w:szCs w:val="154"/>
                    </w:rPr>
                  </w:pPr>
                </w:p>
              </w:txbxContent>
            </v:textbox>
          </v:shape>
        </w:pic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4" w:line="219" w:lineRule="auto"/>
        <w:ind w:firstLine="28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叶科经信〔2022〕14号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50" w:line="252" w:lineRule="auto"/>
        <w:ind w:left="486" w:right="260" w:hanging="22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关于进一步全面提升"获得电力"服务水平</w:t>
      </w:r>
      <w:r>
        <w:rPr>
          <w:rFonts w:ascii="宋体" w:hAnsi="宋体" w:eastAsia="宋体" w:cs="宋体"/>
          <w:spacing w:val="8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1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做好电力接入工程"零投资"工作的通知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5" w:line="317" w:lineRule="auto"/>
        <w:ind w:right="38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各乡镇人民政府、街道办事处,经济开发区管委会,区直有关部门: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为贯彻落实《国务院办公厅转发国家发展改革委等部门关于</w:t>
      </w:r>
    </w:p>
    <w:p>
      <w:pPr>
        <w:spacing w:line="274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清理规范城镇供水供电供气供暖行业收费促进行业高质量发展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意见的通知》(国办函〔2020]129号)、《安徽省发展发改委安</w:t>
      </w:r>
      <w:r>
        <w:rPr>
          <w:rFonts w:ascii="仿宋" w:hAnsi="仿宋" w:eastAsia="仿宋" w:cs="仿宋"/>
          <w:spacing w:val="3"/>
          <w:sz w:val="32"/>
          <w:szCs w:val="32"/>
        </w:rPr>
        <w:t>徽省能源局关于进一步做好电力接入工程"零投资"创建一流营</w:t>
      </w:r>
      <w:r>
        <w:rPr>
          <w:rFonts w:ascii="仿宋" w:hAnsi="仿宋" w:eastAsia="仿宋" w:cs="仿宋"/>
          <w:spacing w:val="-2"/>
          <w:sz w:val="32"/>
          <w:szCs w:val="32"/>
        </w:rPr>
        <w:t>商环境的通知》(皖发改价格函〔2022]93号)、《六安市发改委</w:t>
      </w:r>
      <w:r>
        <w:rPr>
          <w:rFonts w:ascii="仿宋" w:hAnsi="仿宋" w:eastAsia="仿宋" w:cs="仿宋"/>
          <w:spacing w:val="3"/>
          <w:sz w:val="32"/>
          <w:szCs w:val="32"/>
        </w:rPr>
        <w:t>等七部门关于进一步全面提升"获得电力"服务水平做好电力接</w:t>
      </w:r>
      <w:r>
        <w:rPr>
          <w:rFonts w:ascii="仿宋" w:hAnsi="仿宋" w:eastAsia="仿宋" w:cs="仿宋"/>
          <w:spacing w:val="16"/>
          <w:sz w:val="32"/>
          <w:szCs w:val="32"/>
        </w:rPr>
        <w:t>入工程"零投资"工作的通知》(六发改能源〔2022〕157号)</w:t>
      </w:r>
      <w:r>
        <w:rPr>
          <w:rFonts w:ascii="仿宋" w:hAnsi="仿宋" w:eastAsia="仿宋" w:cs="仿宋"/>
          <w:spacing w:val="9"/>
          <w:sz w:val="32"/>
          <w:szCs w:val="32"/>
        </w:rPr>
        <w:t>等文件精神,进一步优化我区电力营商环境,全面提升"获得电</w:t>
      </w:r>
      <w:r>
        <w:rPr>
          <w:rFonts w:ascii="仿宋" w:hAnsi="仿宋" w:eastAsia="仿宋" w:cs="仿宋"/>
          <w:sz w:val="32"/>
          <w:szCs w:val="32"/>
        </w:rPr>
        <w:t>力"服务水平,经区政府同意,现就全区范围内电力接入工程"零</w:t>
      </w:r>
      <w:r>
        <w:rPr>
          <w:rFonts w:ascii="仿宋" w:hAnsi="仿宋" w:eastAsia="仿宋" w:cs="仿宋"/>
          <w:spacing w:val="10"/>
          <w:sz w:val="32"/>
          <w:szCs w:val="32"/>
        </w:rPr>
        <w:t>投资"有关事项通知如下:</w:t>
      </w:r>
    </w:p>
    <w:p>
      <w:pPr>
        <w:spacing w:before="1" w:line="220" w:lineRule="auto"/>
        <w:ind w:firstLine="7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一、电力接入工程"零投资"界面</w:t>
      </w:r>
    </w:p>
    <w:p>
      <w:pPr>
        <w:spacing w:before="180" w:line="321" w:lineRule="auto"/>
        <w:ind w:right="44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(一)本通知适用于叶集区城镇规划建设用地范围内,通过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出让或者划拨取得土地使用权的项目。</w:t>
      </w:r>
    </w:p>
    <w:p>
      <w:pPr>
        <w:spacing w:before="1" w:line="319" w:lineRule="auto"/>
        <w:ind w:right="41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(二)电力接入工程费用是指从用户建筑区划红线连接至公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共管网发生的高低压入网工程建设的全部费用,不包含用户提出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的超标准用电或个性化需求等延伸服务费用。</w:t>
      </w:r>
    </w:p>
    <w:p>
      <w:pPr>
        <w:spacing w:before="4" w:line="316" w:lineRule="auto"/>
        <w:ind w:right="29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(三)高压用户电力接入工程范围为城镇规划建设用地范围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内用户建筑区划红线至公共管网连接处的电力工程。低压用户电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力接入工程范围为计量箱至公共管网连接处的电力工程。</w:t>
      </w:r>
    </w:p>
    <w:p>
      <w:pPr>
        <w:spacing w:before="3" w:line="321" w:lineRule="auto"/>
        <w:ind w:right="30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(四)电力接入工程尽可能向用户建筑红线延伸,建筑区划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红线无法确定时,以距离用户建筑直线距离最近的现有市政道路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规划红线为界。确因条件受限无法延伸的,由属地政府(管委)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与用户协商解决。</w:t>
      </w:r>
    </w:p>
    <w:p>
      <w:pPr>
        <w:spacing w:line="323" w:lineRule="auto"/>
        <w:ind w:firstLine="779"/>
        <w:rPr>
          <w:rFonts w:ascii="Arial"/>
          <w:sz w:val="21"/>
        </w:rPr>
      </w:pPr>
      <w:r>
        <w:rPr>
          <w:rFonts w:ascii="仿宋" w:hAnsi="仿宋" w:eastAsia="仿宋" w:cs="仿宋"/>
          <w:spacing w:val="11"/>
          <w:sz w:val="32"/>
          <w:szCs w:val="32"/>
        </w:rPr>
        <w:t>(五)电力接入工程基本容量(用量)配置标准按国家和行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业相关标准执行。对于超过配置标准的项目,由属地政府(管委)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组织有关单位,采用一事一议的方式论证合理性,明确是否需要</w:t>
      </w: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超标配置及出资方式。</w:t>
      </w:r>
    </w:p>
    <w:p>
      <w:pPr>
        <w:spacing w:before="174" w:line="221" w:lineRule="auto"/>
        <w:ind w:firstLine="7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二、电力接入工程"零投资"分摊政策</w:t>
      </w:r>
    </w:p>
    <w:p>
      <w:pPr>
        <w:spacing w:before="184" w:line="321" w:lineRule="auto"/>
        <w:ind w:firstLine="7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电力接入工程分为低压小微企业项目、其他类项目及地方政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府主导的公共设施项目,具体实施原则如下。</w:t>
      </w:r>
    </w:p>
    <w:p>
      <w:pPr>
        <w:spacing w:line="315" w:lineRule="auto"/>
        <w:ind w:right="91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(一)全区范围内160千瓦及以下低压小微企业电力接入工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程,由供电公司负责出资建设,具体建设流程按照供电公司内部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工程项目要求进行管理。</w:t>
      </w:r>
    </w:p>
    <w:p>
      <w:pPr>
        <w:spacing w:before="2" w:line="320" w:lineRule="auto"/>
        <w:ind w:right="118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(二)其他类项目及地方政府主导的公共设施项目的电力接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入工程,由政府负责出资建设,纳入属地财政土地开发支出,按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照《2019年区政府第59次常务会议纪要》要求,由项目实施单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位组织委托供电公司代为建设。</w:t>
      </w:r>
    </w:p>
    <w:p>
      <w:pPr>
        <w:spacing w:line="320" w:lineRule="auto"/>
        <w:ind w:right="122" w:firstLine="779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(三)供电公司要积极争取建设资金,加大常规公用电网(架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空)工程的投资建设,并力争向用户建筑红线延伸。</w:t>
      </w:r>
    </w:p>
    <w:p>
      <w:pPr>
        <w:spacing w:line="320" w:lineRule="auto"/>
        <w:ind w:right="122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(四)政府(管委)要为供电公司工程施工提供便利,对向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用户建筑红线延伸的工程施工过程中涉及的城市道路占用、挖掘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修复、绿化迁移管养等成本费用予以减免。</w:t>
      </w:r>
    </w:p>
    <w:p>
      <w:pPr>
        <w:spacing w:before="1" w:line="222" w:lineRule="auto"/>
        <w:ind w:firstLine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三、相关要求</w:t>
      </w:r>
    </w:p>
    <w:p>
      <w:pPr>
        <w:spacing w:before="186" w:line="321" w:lineRule="auto"/>
        <w:ind w:right="116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(一)对于承建和受托承建的电力外线项目,供电公司要及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时开展外部电力接入工程施工,建设时序需满足用户接电时间要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求,确保项目及时投运。</w:t>
      </w:r>
    </w:p>
    <w:p>
      <w:pPr>
        <w:spacing w:line="288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</w:rPr>
        <w:t>(二)政府主管部门与供电公司要共同加强用户接电容量申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报审核,约束用户过度报装行为,防止资源资金浪费。同时加强 </w:t>
      </w:r>
      <w:r>
        <w:rPr>
          <w:rFonts w:ascii="仿宋" w:hAnsi="仿宋" w:eastAsia="仿宋" w:cs="仿宋"/>
          <w:spacing w:val="-1"/>
          <w:sz w:val="32"/>
          <w:szCs w:val="32"/>
        </w:rPr>
        <w:t>对建设资金全过程管理,对项目建设、验收和运行情况进行跟踪</w:t>
      </w:r>
      <w:r>
        <w:rPr>
          <w:rFonts w:ascii="仿宋" w:hAnsi="仿宋" w:eastAsia="仿宋" w:cs="仿宋"/>
          <w:spacing w:val="4"/>
          <w:sz w:val="30"/>
          <w:szCs w:val="30"/>
        </w:rPr>
        <w:t>问效</w:t>
      </w:r>
      <w:bookmarkStart w:id="0" w:name="_GoBack"/>
      <w:bookmarkEnd w:id="0"/>
      <w:r>
        <w:rPr>
          <w:rFonts w:ascii="仿宋" w:hAnsi="仿宋" w:eastAsia="仿宋" w:cs="仿宋"/>
          <w:spacing w:val="4"/>
          <w:sz w:val="30"/>
          <w:szCs w:val="30"/>
        </w:rPr>
        <w:t>和监督检查。</w:t>
      </w:r>
    </w:p>
    <w:p>
      <w:pPr>
        <w:spacing w:before="213" w:line="221" w:lineRule="auto"/>
        <w:ind w:firstLine="9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w w:val="103"/>
          <w:sz w:val="30"/>
          <w:szCs w:val="30"/>
        </w:rPr>
        <w:t>(三)执行过程中如遇国家、省、市重大政策调整,根据实</w:t>
      </w:r>
    </w:p>
    <w:p>
      <w:pPr>
        <w:spacing w:before="183" w:line="222" w:lineRule="auto"/>
        <w:ind w:firstLine="1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际情况适时调整。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7" w:line="229" w:lineRule="auto"/>
        <w:ind w:firstLine="3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六安市叶集区科技经济信息化局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      </w:t>
      </w:r>
      <w:r>
        <w:rPr>
          <w:rFonts w:ascii="仿宋" w:hAnsi="仿宋" w:eastAsia="仿宋" w:cs="仿宋"/>
          <w:spacing w:val="13"/>
          <w:position w:val="-1"/>
          <w:sz w:val="30"/>
          <w:szCs w:val="30"/>
        </w:rPr>
        <w:t>六安市叶集区财政局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222" w:lineRule="auto"/>
        <w:ind w:firstLine="3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六安市自然资源和规划局集分局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4"/>
          <w:sz w:val="30"/>
          <w:szCs w:val="30"/>
        </w:rPr>
        <w:t>六安市集区锚房和城建设局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7" w:line="222" w:lineRule="auto"/>
        <w:ind w:firstLine="5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sz w:val="30"/>
          <w:szCs w:val="30"/>
        </w:rPr>
        <w:t>六安市叶集区重板端督算理局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8"/>
          <w:sz w:val="30"/>
          <w:szCs w:val="30"/>
        </w:rPr>
        <w:t>六安市听集区重点工程建设管理处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8" w:line="222" w:lineRule="auto"/>
        <w:ind w:firstLine="46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2"/>
          <w:w w:val="104"/>
          <w:sz w:val="30"/>
          <w:szCs w:val="30"/>
        </w:rPr>
        <w:t>国网六安戒叶集供公司</w:t>
      </w:r>
    </w:p>
    <w:p>
      <w:pPr>
        <w:spacing w:before="221" w:line="222" w:lineRule="auto"/>
        <w:ind w:firstLine="51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w w:val="98"/>
          <w:sz w:val="30"/>
          <w:szCs w:val="30"/>
        </w:rPr>
        <w:t>2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0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2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年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6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2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7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w w:val="98"/>
          <w:sz w:val="30"/>
          <w:szCs w:val="30"/>
        </w:rPr>
        <w:t>E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" w:line="40" w:lineRule="exact"/>
        <w:ind w:firstLine="19"/>
        <w:textAlignment w:val="center"/>
      </w:pPr>
      <w:r>
        <w:drawing>
          <wp:inline distT="0" distB="0" distL="0" distR="0">
            <wp:extent cx="5619750" cy="254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74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8" w:line="228" w:lineRule="auto"/>
        <w:ind w:firstLine="3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"/>
          <w:sz w:val="30"/>
          <w:szCs w:val="30"/>
        </w:rPr>
        <w:t>六安市叶集区科技经济信息化局</w:t>
      </w:r>
      <w:r>
        <w:rPr>
          <w:rFonts w:ascii="仿宋" w:hAnsi="仿宋" w:eastAsia="仿宋" w:cs="仿宋"/>
          <w:spacing w:val="7"/>
          <w:position w:val="1"/>
          <w:sz w:val="30"/>
          <w:szCs w:val="30"/>
        </w:rPr>
        <w:t xml:space="preserve">          </w:t>
      </w:r>
      <w:r>
        <w:rPr>
          <w:rFonts w:ascii="仿宋" w:hAnsi="仿宋" w:eastAsia="仿宋" w:cs="仿宋"/>
          <w:spacing w:val="-7"/>
          <w:position w:val="-1"/>
          <w:sz w:val="30"/>
          <w:szCs w:val="30"/>
        </w:rPr>
        <w:t>2022年6月27日印发</w:t>
      </w:r>
    </w:p>
    <w:p>
      <w:pPr>
        <w:spacing w:before="101" w:line="40" w:lineRule="exact"/>
        <w:textAlignment w:val="center"/>
      </w:pPr>
      <w:r>
        <w:drawing>
          <wp:inline distT="0" distB="0" distL="0" distR="0">
            <wp:extent cx="5632450" cy="25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68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9" w:line="188" w:lineRule="auto"/>
        <w:ind w:firstLine="3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─4─</w:t>
      </w:r>
    </w:p>
    <w:p>
      <w:pPr>
        <w:sectPr>
          <w:footerReference r:id="rId5" w:type="default"/>
          <w:pgSz w:w="11900" w:h="16820"/>
          <w:pgMar w:top="1429" w:right="1692" w:bottom="400" w:left="1269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7" w:line="183" w:lineRule="auto"/>
        <w:ind w:firstLine="70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─5─</w:t>
      </w:r>
    </w:p>
    <w:sectPr>
      <w:pgSz w:w="12240" w:h="17050"/>
      <w:pgMar w:top="1449" w:right="1836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5Njk5MGUzZWNkNDFiNzc5NDkzYzUwMDE0ZDIyNjMifQ=="/>
  </w:docVars>
  <w:rsids>
    <w:rsidRoot w:val="00000000"/>
    <w:rsid w:val="56860E4B"/>
    <w:rsid w:val="71B02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1469</Words>
  <Characters>1501</Characters>
  <TotalTime>2</TotalTime>
  <ScaleCrop>false</ScaleCrop>
  <LinksUpToDate>false</LinksUpToDate>
  <CharactersWithSpaces>1566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2022-07-07T08:09:00Z</dcterms:created>
  <dc:creator>Kingsoft-PDF</dc:creator>
  <cp:keywords>62c6242f3ff91100150e4a20</cp:keywords>
  <cp:lastModifiedBy>无言独忧</cp:lastModifiedBy>
  <dcterms:modified xsi:type="dcterms:W3CDTF">2023-08-24T06:04:11Z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2022-07-07T08:09:32Z</vt:filetime>
  </property>
  <property fmtid="{D5CDD505-2E9C-101B-9397-08002B2CF9AE}" pid="4" name="KSOProductBuildVer">
    <vt:lpwstr>2052-11.1.0.14309</vt:lpwstr>
  </property>
  <property fmtid="{D5CDD505-2E9C-101B-9397-08002B2CF9AE}" pid="5" name="ICV">
    <vt:lpwstr>3D4EC09C9B1F414192044544D2DEC656_13</vt:lpwstr>
  </property>
</Properties>
</file>