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根据新修订《中华人民共和国政府信息公开条例》（以下简称新《条例》），结合上级有关文件精神等要求，现编制2020年度六安市叶集区三元镇人民政府信息公开工作年度报告。本报告包括总体情况、主动公开政府信息情况、收到和处理政府信息公开申请情况、政府信息公开行政复议行政诉讼情况、提起行政诉讼情况、存在的主要问题和改进情况和其他需要报告的事项。本年度报告中使用数据统计期限为2020年1月1日至2020年12月31日，本年度报告电子版可在叶集区三元镇人民政府信息公开平台下载。如对本报告有任何疑问，请与三元镇党政办公室联系（地址：三元镇街道；邮编：237431；联系电话：0564-6551861)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年，三元镇在区委、区政府的统一部署下，在区政务公开办公室的指导下，认真贯彻落实新修订的《中华人民共和国政府信息公开条例》，围绕着“六稳、六保”的思想，结合三元镇实际情况，全力推进政府信息公开工作，坚持“五公开”，取得了一定的成效，全年共主动公开信息1203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（一）主动公开情况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重点工作信息公开：三元镇围绕“三大攻坚战”，做好重点领域信息发布，切实做好脱贫攻坚、防范化解重大风险、污染防治、社会公益性事业、公共资源配置、公共服务、财政资金等栏目的信息发布、更新、维护工作，依法保障公众查询需要。同时根据需求导向原则，把受群众关注的政策解读、不动产证发放、惠农资金管理、招投标管理、“三公”经费、民政救济等领域也作为公开的重点领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我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镇在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统筹社会经济发展和疫情防控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的情况下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，扎实做好“六稳”工作，落实“六保”任务，坚决打好三大攻坚战，加快实施乡村振兴战略，社会大局和谐稳定，人民群众获得感显著提升，经济社会保持了稳中有进的良好态势。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（二）依申请公开。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年三元镇认真贯彻落实《国务院办公厅关于做好政府信息依申请公开工作的意见》，规范政府信息依申请公开的申请主体、申请条件和申请程序，明晰政府信息依申请公开范围和内容，明确受理申请部门、受理答复程序、答复时限以及工作程序，规定不予受理的情况和保密规则等，确保依申请公开工作有序、高效开展。2020年我镇收到依申请公开申请事项0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（三）政府信息管理。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年三元镇从强化组织领导入手，狠抓政务公开组织体系的建设。镇党委、政府把政务公开作为镇重点工作目标之一，通过乡=镇主要领导亲自抓，定期听取情况汇报，研究解决重大问题；分管领导多次在镇村干部会议上进行安排布置，加强对工作人员培训，使工作人员准确理解掌握相关规定，切实增强公开意识和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（四）平台建设情况。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积极打造为民服务体系建设，进一步整合优化实体办事大厅“一站式”功能，加快实现“一个窗口”“一次办理”。推动更多服务事项“一网通办”，让企业和群众办事更明白、更便捷。今年以来镇村为民服务中心共为民服务事项办件计60000余件，深受群众称赞，及时回应社会关切77件，切实保障群众的知情权、参与权、监督权，真正体现了政务公开为民办实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（五）监督保障。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一是加强平时、季度、年度考评，实现事前、事中、事后督促检查。二是完善政务公开工作机制。 三是通过把政务公开与干部个人目标考核相结合。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4"/>
        <w:tblW w:w="928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2121"/>
        <w:gridCol w:w="2121"/>
        <w:gridCol w:w="213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本年新制作数量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本年新公开数量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规章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规范性文件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本年增 /减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行政许可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其他对外管理服务事项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本年增/减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行政处罚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行政强制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增0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上一年项目数量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本年增 /减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行政事业性收费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增0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9060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信息内容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采购项目数量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政府集中采购</w:t>
            </w:r>
          </w:p>
        </w:tc>
        <w:tc>
          <w:tcPr>
            <w:tcW w:w="207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  <w:tc>
          <w:tcPr>
            <w:tcW w:w="414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4"/>
        <w:tblW w:w="10005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94"/>
        <w:gridCol w:w="1778"/>
        <w:gridCol w:w="9"/>
        <w:gridCol w:w="2555"/>
        <w:gridCol w:w="797"/>
        <w:gridCol w:w="589"/>
        <w:gridCol w:w="560"/>
        <w:gridCol w:w="797"/>
        <w:gridCol w:w="730"/>
        <w:gridCol w:w="589"/>
        <w:gridCol w:w="707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6" w:type="dxa"/>
            <w:gridSpan w:val="4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769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6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自然人</w:t>
            </w:r>
          </w:p>
        </w:tc>
        <w:tc>
          <w:tcPr>
            <w:tcW w:w="326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法人或其他组织</w:t>
            </w:r>
          </w:p>
        </w:tc>
        <w:tc>
          <w:tcPr>
            <w:tcW w:w="707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6" w:type="dxa"/>
            <w:gridSpan w:val="4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商业企业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科研机构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社会公益组织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法律服务机构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其他</w:t>
            </w:r>
          </w:p>
        </w:tc>
        <w:tc>
          <w:tcPr>
            <w:tcW w:w="707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4" w:hRule="atLeast"/>
        </w:trPr>
        <w:tc>
          <w:tcPr>
            <w:tcW w:w="523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三、本年度办理结果</w:t>
            </w:r>
          </w:p>
        </w:tc>
        <w:tc>
          <w:tcPr>
            <w:tcW w:w="4342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（一）予以公开</w:t>
            </w:r>
          </w:p>
        </w:tc>
        <w:tc>
          <w:tcPr>
            <w:tcW w:w="79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vMerge w:val="restart"/>
            <w:tcBorders>
              <w:top w:val="single" w:color="333333" w:sz="6" w:space="0"/>
              <w:left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342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（三）不予公开</w:t>
            </w: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1．属于国家秘密</w:t>
            </w: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2．其他法律行政法规禁止公开</w:t>
            </w: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3．危及“三安全一稳定”</w:t>
            </w: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6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30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589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07" w:type="dxa"/>
            <w:vMerge w:val="continue"/>
            <w:tcBorders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4．保护第三方合法权益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5．属于三类内部事务信息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6．属于四类过程性信息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7．属于行政执法案卷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8．属于行政查询事项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三、本年度办理结果</w:t>
            </w:r>
          </w:p>
        </w:tc>
        <w:tc>
          <w:tcPr>
            <w:tcW w:w="177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（四）无法提供</w:t>
            </w: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1．本机关不掌握相关政府信息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2．没有现成信息需要另行制作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3．补正后申请内容仍不明确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（五）不予处理</w:t>
            </w: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1．信访举报投诉类申请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2．重复申请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3.要求提供公开出版物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4．无正当理由大量反复申请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5．要求行政机关确认或重新出具已获取信息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（六）其他处理</w:t>
            </w: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894" w:type="dxa"/>
            <w:vMerge w:val="continue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（七）总计</w:t>
            </w:r>
          </w:p>
        </w:tc>
        <w:tc>
          <w:tcPr>
            <w:tcW w:w="256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236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四、结转下年度继续办理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9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58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（四）、政府信息公开行政复议、行政诉讼情况</w:t>
      </w:r>
    </w:p>
    <w:tbl>
      <w:tblPr>
        <w:tblStyle w:val="4"/>
        <w:tblW w:w="13290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7"/>
        <w:gridCol w:w="937"/>
        <w:gridCol w:w="937"/>
        <w:gridCol w:w="937"/>
        <w:gridCol w:w="679"/>
        <w:gridCol w:w="937"/>
        <w:gridCol w:w="938"/>
        <w:gridCol w:w="938"/>
        <w:gridCol w:w="938"/>
        <w:gridCol w:w="680"/>
        <w:gridCol w:w="938"/>
        <w:gridCol w:w="938"/>
        <w:gridCol w:w="938"/>
        <w:gridCol w:w="938"/>
        <w:gridCol w:w="68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行政复议</w:t>
            </w:r>
          </w:p>
        </w:tc>
        <w:tc>
          <w:tcPr>
            <w:tcW w:w="5670" w:type="dxa"/>
            <w:gridSpan w:val="10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行政诉讼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未经复议直接起诉</w:t>
            </w:r>
          </w:p>
        </w:tc>
        <w:tc>
          <w:tcPr>
            <w:tcW w:w="2835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复议后起诉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维持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纠正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审结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总计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维持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纠正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审结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总计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维持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纠正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其他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结果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尚未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审结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总计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6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  <w:tc>
          <w:tcPr>
            <w:tcW w:w="42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（五）存在的主要问题及改进情况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2020年，我镇政务公开工作稳步推进，但与实现高质量政务公开工作还存在一定差距。主要表现在对政务公开的认识思想不到位；公开的内容质量不高，不具体和不及时，解读不到位；工作人员不固定，业务不熟，工作效率低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下一步打算：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摆正位置。按照国家省市要求，大力推动政务公开工作，加强政务公开工作机构建设，担起责任，做好整改反馈，确保公开事项及时公开，根据政务公开的需要，搭建好技术平台，有效提高政务公开信息化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二强化能力。加强对基础薄弱的模块实施，确保打通工作落实“最后一公里”。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三严格落实。根据上级通报及时、有效、高质量完善第三方测评的指标体系与测评。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（六）其他需要报告的事项。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无其他需要报告事项。</w:t>
      </w:r>
    </w:p>
    <w:p>
      <w:pPr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iMzY2NzIyOTRjYjQ2ODI1NTcxZDY4NzcxZDk2NzAifQ=="/>
  </w:docVars>
  <w:rsids>
    <w:rsidRoot w:val="34E1591A"/>
    <w:rsid w:val="199F26CA"/>
    <w:rsid w:val="1D572283"/>
    <w:rsid w:val="22330AF0"/>
    <w:rsid w:val="34E1591A"/>
    <w:rsid w:val="3790284F"/>
    <w:rsid w:val="5DF2108D"/>
    <w:rsid w:val="775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97"/>
      <w:outlineLvl w:val="0"/>
    </w:pPr>
    <w:rPr>
      <w:rFonts w:ascii="方正小标宋_GBK" w:hAnsi="方正小标宋_GBK" w:eastAsia="方正小标宋简体" w:cs="方正小标宋_GBK"/>
      <w:sz w:val="44"/>
      <w:szCs w:val="44"/>
      <w:lang w:val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2953</Words>
  <Characters>3005</Characters>
  <Lines>0</Lines>
  <Paragraphs>0</Paragraphs>
  <TotalTime>10</TotalTime>
  <ScaleCrop>false</ScaleCrop>
  <LinksUpToDate>false</LinksUpToDate>
  <CharactersWithSpaces>3008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2022-10-18T01:26:00Z</dcterms:created>
  <dc:creator>渡</dc:creator>
  <cp:lastModifiedBy>渡</cp:lastModifiedBy>
  <dcterms:modified xsi:type="dcterms:W3CDTF">2022-10-18T09:12:10Z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0164B7D7C3504607BB4B52CD217946BA</vt:lpwstr>
  </property>
</Properties>
</file>